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22" w:rsidRDefault="00766E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6E22" w:rsidRDefault="00766E22">
      <w:pPr>
        <w:pStyle w:val="ConsPlusNormal"/>
        <w:jc w:val="both"/>
        <w:outlineLvl w:val="0"/>
      </w:pPr>
    </w:p>
    <w:p w:rsidR="00766E22" w:rsidRDefault="00766E22">
      <w:pPr>
        <w:pStyle w:val="ConsPlusNormal"/>
        <w:outlineLvl w:val="0"/>
      </w:pPr>
      <w:r>
        <w:t>Зарегистрировано в Минюсте России 18 января 2016 г. N 40625</w:t>
      </w:r>
    </w:p>
    <w:p w:rsidR="00766E22" w:rsidRDefault="00766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E22" w:rsidRDefault="00766E22">
      <w:pPr>
        <w:pStyle w:val="ConsPlusNormal"/>
      </w:pPr>
    </w:p>
    <w:p w:rsidR="00766E22" w:rsidRDefault="00766E2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66E22" w:rsidRDefault="00766E22">
      <w:pPr>
        <w:pStyle w:val="ConsPlusTitle"/>
        <w:jc w:val="center"/>
      </w:pPr>
    </w:p>
    <w:p w:rsidR="00766E22" w:rsidRDefault="00766E22">
      <w:pPr>
        <w:pStyle w:val="ConsPlusTitle"/>
        <w:jc w:val="center"/>
      </w:pPr>
      <w:r>
        <w:t>ПРИКАЗ</w:t>
      </w:r>
    </w:p>
    <w:p w:rsidR="00766E22" w:rsidRDefault="00766E22">
      <w:pPr>
        <w:pStyle w:val="ConsPlusTitle"/>
        <w:jc w:val="center"/>
      </w:pPr>
      <w:r>
        <w:t>от 14 декабря 2015 г. N 1459</w:t>
      </w:r>
    </w:p>
    <w:p w:rsidR="00766E22" w:rsidRDefault="00766E22">
      <w:pPr>
        <w:pStyle w:val="ConsPlusTitle"/>
        <w:jc w:val="center"/>
      </w:pPr>
    </w:p>
    <w:p w:rsidR="00766E22" w:rsidRDefault="00766E22">
      <w:pPr>
        <w:pStyle w:val="ConsPlusTitle"/>
        <w:jc w:val="center"/>
      </w:pPr>
      <w:r>
        <w:t>ОБ УТВЕРЖДЕНИИ</w:t>
      </w:r>
    </w:p>
    <w:p w:rsidR="00766E22" w:rsidRDefault="00766E2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66E22" w:rsidRDefault="00766E22">
      <w:pPr>
        <w:pStyle w:val="ConsPlusTitle"/>
        <w:jc w:val="center"/>
      </w:pPr>
      <w:r>
        <w:t>ВЫСШЕГО ОБРАЗОВАНИЯ ПО НАПРАВЛЕНИЮ ПОДГОТОВКИ 38.03.10</w:t>
      </w:r>
    </w:p>
    <w:p w:rsidR="00766E22" w:rsidRDefault="00766E22">
      <w:pPr>
        <w:pStyle w:val="ConsPlusTitle"/>
        <w:jc w:val="center"/>
      </w:pPr>
      <w:r>
        <w:t>ЖИЛИЩНОЕ ХОЗЯЙСТВО И КОММУНАЛЬНАЯ ИНФРАСТРУКТУРА</w:t>
      </w:r>
    </w:p>
    <w:p w:rsidR="00766E22" w:rsidRDefault="00766E22">
      <w:pPr>
        <w:pStyle w:val="ConsPlusTitle"/>
        <w:jc w:val="center"/>
      </w:pPr>
      <w:r>
        <w:t>(УРОВЕНЬ БАКАЛАВРИАТА)</w:t>
      </w:r>
    </w:p>
    <w:p w:rsidR="00766E22" w:rsidRDefault="00766E22">
      <w:pPr>
        <w:pStyle w:val="ConsPlusNormal"/>
        <w:jc w:val="center"/>
      </w:pPr>
    </w:p>
    <w:p w:rsidR="00766E22" w:rsidRDefault="00766E22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3776; 2015, N 26, ст. 3898; N 43, ст. 5976),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38.03.10 Жилищное хозяйство и коммунальная инфраструктура (уровень бакалавриата).</w:t>
      </w:r>
    </w:p>
    <w:p w:rsidR="00766E22" w:rsidRDefault="00766E22">
      <w:pPr>
        <w:pStyle w:val="ConsPlusNormal"/>
        <w:jc w:val="center"/>
      </w:pPr>
    </w:p>
    <w:p w:rsidR="00766E22" w:rsidRDefault="00766E22">
      <w:pPr>
        <w:pStyle w:val="ConsPlusNormal"/>
        <w:jc w:val="right"/>
      </w:pPr>
      <w:r>
        <w:t>Министр</w:t>
      </w:r>
    </w:p>
    <w:p w:rsidR="00766E22" w:rsidRDefault="00766E22">
      <w:pPr>
        <w:pStyle w:val="ConsPlusNormal"/>
        <w:jc w:val="right"/>
      </w:pPr>
      <w:r>
        <w:t>Д.В.ЛИВАНОВ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jc w:val="right"/>
        <w:outlineLvl w:val="0"/>
      </w:pPr>
      <w:r>
        <w:t>Приложение</w:t>
      </w:r>
    </w:p>
    <w:p w:rsidR="00766E22" w:rsidRDefault="00766E22">
      <w:pPr>
        <w:pStyle w:val="ConsPlusNormal"/>
        <w:jc w:val="right"/>
      </w:pPr>
    </w:p>
    <w:p w:rsidR="00766E22" w:rsidRDefault="00766E22">
      <w:pPr>
        <w:pStyle w:val="ConsPlusNormal"/>
        <w:jc w:val="right"/>
      </w:pPr>
      <w:r>
        <w:t>Утвержден</w:t>
      </w:r>
    </w:p>
    <w:p w:rsidR="00766E22" w:rsidRDefault="00766E22">
      <w:pPr>
        <w:pStyle w:val="ConsPlusNormal"/>
        <w:jc w:val="right"/>
      </w:pPr>
      <w:r>
        <w:t>приказом Министерства образования</w:t>
      </w:r>
    </w:p>
    <w:p w:rsidR="00766E22" w:rsidRDefault="00766E22">
      <w:pPr>
        <w:pStyle w:val="ConsPlusNormal"/>
        <w:jc w:val="right"/>
      </w:pPr>
      <w:r>
        <w:t>и науки Российской Федерации</w:t>
      </w:r>
    </w:p>
    <w:p w:rsidR="00766E22" w:rsidRDefault="00766E22">
      <w:pPr>
        <w:pStyle w:val="ConsPlusNormal"/>
        <w:jc w:val="right"/>
      </w:pPr>
      <w:r>
        <w:t>от 14 декабря 2015 г. 1459</w:t>
      </w:r>
    </w:p>
    <w:p w:rsidR="00766E22" w:rsidRDefault="00766E22">
      <w:pPr>
        <w:pStyle w:val="ConsPlusNormal"/>
        <w:jc w:val="center"/>
      </w:pPr>
    </w:p>
    <w:p w:rsidR="00766E22" w:rsidRDefault="00766E22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766E22" w:rsidRDefault="00766E22">
      <w:pPr>
        <w:pStyle w:val="ConsPlusTitle"/>
        <w:jc w:val="center"/>
      </w:pPr>
      <w:r>
        <w:t>ВЫСШЕГО ОБРАЗОВАНИЯ</w:t>
      </w:r>
    </w:p>
    <w:p w:rsidR="00766E22" w:rsidRDefault="00766E22">
      <w:pPr>
        <w:pStyle w:val="ConsPlusTitle"/>
        <w:jc w:val="center"/>
      </w:pPr>
    </w:p>
    <w:p w:rsidR="00766E22" w:rsidRDefault="00766E22">
      <w:pPr>
        <w:pStyle w:val="ConsPlusTitle"/>
        <w:jc w:val="center"/>
      </w:pPr>
      <w:r>
        <w:t>УРОВЕНЬ ВЫСШЕГО ОБРАЗОВАНИЯ</w:t>
      </w:r>
    </w:p>
    <w:p w:rsidR="00766E22" w:rsidRDefault="00766E22">
      <w:pPr>
        <w:pStyle w:val="ConsPlusTitle"/>
        <w:jc w:val="center"/>
      </w:pPr>
      <w:r>
        <w:t>БАКАЛАВР</w:t>
      </w:r>
    </w:p>
    <w:p w:rsidR="00766E22" w:rsidRDefault="00766E22">
      <w:pPr>
        <w:pStyle w:val="ConsPlusTitle"/>
        <w:jc w:val="center"/>
      </w:pPr>
    </w:p>
    <w:p w:rsidR="00766E22" w:rsidRDefault="00766E22">
      <w:pPr>
        <w:pStyle w:val="ConsPlusTitle"/>
        <w:jc w:val="center"/>
      </w:pPr>
      <w:r>
        <w:t>НАПРАВЛЕНИЕ ПОДГОТОВКИ</w:t>
      </w:r>
    </w:p>
    <w:p w:rsidR="00766E22" w:rsidRDefault="00766E22">
      <w:pPr>
        <w:pStyle w:val="ConsPlusTitle"/>
        <w:jc w:val="center"/>
      </w:pPr>
      <w:r>
        <w:t>38.03.10 ЖИЛИЩНОЕ ХОЗЯЙСТВО И КОММУНАЛЬНАЯ ИНФРАСТРУКТУРА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Title"/>
        <w:jc w:val="center"/>
        <w:outlineLvl w:val="1"/>
      </w:pPr>
      <w:r>
        <w:t>I. ОБЛАСТЬ ПРИМЕНЕНИЯ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38.03.10 Жилищное хозяйство и коммунальная инфраструктура (далее соответственно - программа бакалавриата, направление подготовки).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Title"/>
        <w:jc w:val="center"/>
        <w:outlineLvl w:val="1"/>
      </w:pPr>
      <w:r>
        <w:t>II. ИСПОЛЬЗУЕМЫЕ СОКРАЩЕНИЯ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Title"/>
        <w:jc w:val="center"/>
        <w:outlineLvl w:val="1"/>
      </w:pPr>
      <w:r>
        <w:t>III. ХАРАКТЕРИСТИКА НАПРАВЛЕНИЯ ПОДГОТОВКИ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766E22" w:rsidRDefault="00766E22">
      <w:pPr>
        <w:pStyle w:val="ConsPlusNormal"/>
        <w:spacing w:before="220"/>
        <w:ind w:firstLine="540"/>
        <w:jc w:val="both"/>
      </w:pPr>
      <w:r>
        <w:t>Объем программы бакалавриата составляет 240 зачетных единиц (далее - з.е.) вне зависимости от форм обучения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бакалавриата: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бакалавриата в очной форме обучения, реализуемый за один учебный год, составляет 60 з.е.;</w:t>
      </w:r>
    </w:p>
    <w:p w:rsidR="00766E22" w:rsidRDefault="00766E22">
      <w:pPr>
        <w:pStyle w:val="ConsPlusNormal"/>
        <w:spacing w:before="220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766E22" w:rsidRDefault="00766E22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t xml:space="preserve"> Объем программы бакалавриата </w:t>
      </w:r>
      <w:proofErr w:type="gramStart"/>
      <w:r>
        <w:t>за один учебный год при обучении по индивидуальному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lastRenderedPageBreak/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Title"/>
        <w:jc w:val="center"/>
        <w:outlineLvl w:val="1"/>
      </w:pPr>
      <w:r>
        <w:t>IV. ХАРАКТЕРИСТИКА ПРОФЕССИОНАЛЬНОЙ ДЕЯТЕЛЬНОСТИ</w:t>
      </w:r>
    </w:p>
    <w:p w:rsidR="00766E22" w:rsidRDefault="00766E22">
      <w:pPr>
        <w:pStyle w:val="ConsPlusTitle"/>
        <w:jc w:val="center"/>
      </w:pPr>
      <w:r>
        <w:t>ВЫПУСКНИКОВ, ОСВОИВШИХ ПРОГРАММУ БАКАЛАВРИАТА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управление жилищным фондом, мониторинг технического состояния, эксплуатацию и обслуживание общественных и гражданских объектов;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капитальный ремонт общего имущества многоквартирных домов, модернизацию и реконструкцию общественных и гражданских объектов;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эксплуатацию, ремонт и обслуживание централизованных сетей ресурсоснабжающих организаций;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эксплуатацию, ремонт, благоустройство городских дорог и территорий общего пользования;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предпринимательскую деятельность и управление производственной деятельностью в жилищно-коммунальном хозяйстве.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жилые, общественные и административные здания;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объекты и системы коммунальной инфраструктуры, расположенные в границах муниципальных образований.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производственно-технологическая;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педагогическая.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lastRenderedPageBreak/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t>академического</w:t>
      </w:r>
      <w:proofErr w:type="gramEnd"/>
      <w:r>
        <w:t xml:space="preserve"> бакалавриата);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t>прикладного</w:t>
      </w:r>
      <w:proofErr w:type="gramEnd"/>
      <w:r>
        <w:t xml:space="preserve"> бакалавриата).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участие в формировании организационно-управленческой структуры предприятий по управлению, техническому обслуживанию, содержанию и ремонту жилищного фонда, жилых, общественных и административных зданий, объектов коммунальной инфраструктуры;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разработка и реализация планов финансово-экономического развития организации (предприятия);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оценка производственных и непроизводственных затрат на обеспечение деятельности организации (предприятия);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участие в организации взаимодействия между всеми субъектами жилищного хозяйства (органами местного самоуправления, собственниками, арендаторами и нанимателями жилых помещений, жилых, общественных и административных зданий, управляющими организациями, товариществами собственников жилья, жилищно-строительными (жилищными) кооперативами, подрядными и ресурсоснабжающими организациями);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участие в реализации общественного контроля в жилищно-коммунальной сфере;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определение производственной программы по технической эксплуатации объектов профессиональной деятельности;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выбор материалов, специального оборудования и средств с учетом процесса эксплуатации и обслуживания объектов профессиональной деятельности;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организация контроля качества используемых в процессе технической эксплуатации объектов профессиональной деятельности материалов, комплектующих изделий и запасных частей;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мониторинг и контроль качества технической эксплуатации объектов профессиональной деятельности;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организация и осуществление надзора за соблюдением собственниками помещений в жилых и нежилых зданиях соответствующих требований их использования и содержания;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lastRenderedPageBreak/>
        <w:t>внедрение и использование информационных систем и технологий в процессах эксплуатации, ремонта и обслуживания объектов профессиональной деятельности;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организация метрологического обеспечения технологических процессов, использование современных методов контроля качества предоставляемых жилищно-коммунальных услуг, реализация мер экологической безопасности;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участие в прикладных исследованиях в области эксплуатации объектов жилого, нежилого фонда и коммунальной инфраструктуры и других смежных областях;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анализ состояния и динамики показателей качества объектов профессиональной деятельности с использованием необходимых методов и средств исследований;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техническое, организационное обеспечение и реализация исследований;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участие во внедрении результатов исследований и практических разработок;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мониторинг жилищно-коммунальных потребностей;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участие в исследовании и реализации методов управления качеством, стандартизации и сертификации жилищно-коммунальных услуг;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участие в организации обучения в системах высшего образования и среднего профессионального образования;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участие в организации обучения в системе дополнительного профессионального образования, в том числе на предприятиях жилищно-коммунального комплекса;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участие в аттестации работников на предприятиях жилищного и коммунального комплексов.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Title"/>
        <w:jc w:val="center"/>
        <w:outlineLvl w:val="1"/>
      </w:pPr>
      <w:r>
        <w:t>V. ТРЕБОВАНИЯ К РЕЗУЛЬТАТАМ ОСВОЕНИЯ ПРОГРАММЫ БАКАЛАВРИАТА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(ОК-1);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деятельности (ОК-3);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использовать основы правовых знаний в различных сферах деятельности (ОК-4);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lastRenderedPageBreak/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к самоорганизации и самообразованию (ОК-7);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использовать базовые положения математики, естественных, гуманитарных и экономических наук при решении социальных и профессиональных задач (ОК-8);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пользоваться основными методами организации безопасности жизнедеятельности людей, их защиты от возможных последствий аварий, катастроф, стихийных бедствий (ОК-9);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осуществлять деятельность, связанную с руководством действиями отдельных работников, оказывать помощь подчиненным (ОК-10);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на научной основе организовывать свой труд, оценивать с большой степенью самостоятельности результаты своей деятельности, владеть навыками самостоятельной работы (ОК-11);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понимать сущность и значение информации в развитии современного информационного общества, осознавать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пользоваться основными методами, способами и средствами получения, хранения, переработки информации, владением навыками работы с компьютером как средством управления информацией, способностью работать с информацией в глобальных компьютерных сетях (ОК-13).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к поиску, анализу и использованию жилищного законодательства, нормативных правовых актов, регламентирующих отношения и деятельность в жилищной сфере и коммунальном хозяйстве (ОПК-1);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ответственность с позиций социальной значимости принимаемых решений (ОПК-2);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составлять бюджетную и финансовую отчетность, распределять ресурсы с учетом последствий влияния различных методов и способов на результаты деятельности организации (ОПК-5);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проводить предварительное технико-экономическое обоснование эффективности работ (ОПК-6);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lastRenderedPageBreak/>
        <w:t>способностью разрабатывать технологии повышения качества жилищно-коммунальных услуг (ОПК-7);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оценивать эффективность выбранных материалов, технологий, методов организации и управления для жилищного и коммунального хозяйства (ОПК-8).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умением проводить аудит человеческих ресурсов и осуществлять диагностику организационной культуры (ПК-1);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способностью применять основные </w:t>
      </w:r>
      <w:proofErr w:type="gramStart"/>
      <w:r>
        <w:t>экономические методы</w:t>
      </w:r>
      <w:proofErr w:type="gramEnd"/>
      <w:r>
        <w:t xml:space="preserve"> для управления предприятиями и организациями, принятия управленческих решений (ПК-2);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проводить оценку инвестиционных проектов при различных условиях инвестирования и финансирования и разрабатывать мероприятия повышения инвестиционной привлекательности жилищного и коммунального хозяйства (ПК-3);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к планированию производственно-хозяйственной деятельности предприятия и организаций сферы жилищного и коммунального хозяйства в зависимости от изменения конъюнктуры рынка и спроса потребителей, в том числе с учетом социальной политики государства (ПК-4);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пользоваться методами контроля и стимулирования своевременного и качественного выполнения заданий (ПК-5);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к работе с жалобами и предложениями населения и владением методами достижения баланса интересов (ПК-6);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разрабатывать нормы и правила для жилищного и коммунального хозяйства, обеспечивать их согласование и утверждение (ПК-7);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разрабатывать и реализовывать оперативные планы работы первичных производственных подразделений, вести анализ затрат и результатов деятельности производственных подразделений, составлять техническую документацию, а также установленную отчетность по утвержденным формам (ПК-8);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применять современные технологии эксплуатации, ремонта и обслуживания объектов профессиональной деятельности (ПК-9);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вести подготовку документации по менеджменту качества и осуществлять контроль качества технологических процессов на производственных участках, организацию рабочих мест, их техническое оснащение, размещение технологического оборудования, а также осуществлять контроль соблюдения технологической дисциплины и экологической безопасности (ПК-10);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способностью применять на практике требования, предъявляемые к обеспечению </w:t>
      </w:r>
      <w:r>
        <w:lastRenderedPageBreak/>
        <w:t>безопасности зданий и сооружений в период эксплуатации (ПК-11);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применять на практике меры по повышению энергоэффективности жилищного фонда, объектов общественного и гражданского назначения (ПК-12);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осуществлять оперативное управление и координацию деятельности структурных подразделений (ПК-13);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управлять основными процессами технической эксплуатации жилищного фонда (ПК-14);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организовывать контроль за техническим и санитарно-гигиеническим состоянием жилищного фонда, вести мониторинг удовлетворенности качеством предоставляемых жилищно-коммунальных услуг (ПК-15);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разрабатывать планы-графики проведения технического обслуживания и текущего ремонта объектов жилищной сферы и коммунального хозяйства (ПК-16);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осуществлять анализ материалов, технологий, методов организации и управления (ПК-17);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оценивать эффективность выбранных материалов, технологий, методов организации и управления жилищно-коммунальным комплексом (ПК-18);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к проведению научных исследований в сфере жилищного и коммунального хозяйства (ПК-19);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к изучению научно-технической информации, отечественного и зарубежного опыта в сфере жилищного и коммунального хозяйства (ПК-20);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к участию в выполнении инновационных проектов в сфере жилищного и коммунального хозяйства (ПК-21);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преподавать профильные дисциплины в системах высшего образования, среднего профессионального и дополнительного профессионального образования (ПК-22);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способностью организовывать работу по аттестации работников на предприятиях жилищного коммунального хозяйства (ПК-23).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5.7. При разработке программы бакалавриата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Title"/>
        <w:jc w:val="center"/>
        <w:outlineLvl w:val="1"/>
      </w:pPr>
      <w:r>
        <w:t>VI. ТРЕБОВАНИЯ К СТРУКТУРЕ ПРОГРАММЫ БАКАЛАВРИАТА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6.2. Программа бакалавриата состоит из следующих блоков:</w:t>
      </w:r>
    </w:p>
    <w:p w:rsidR="00766E22" w:rsidRDefault="00766E22">
      <w:pPr>
        <w:pStyle w:val="ConsPlusNormal"/>
        <w:spacing w:before="220"/>
        <w:ind w:firstLine="540"/>
        <w:jc w:val="both"/>
      </w:pPr>
      <w:hyperlink w:anchor="P193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66E22" w:rsidRDefault="00766E22">
      <w:pPr>
        <w:pStyle w:val="ConsPlusNormal"/>
        <w:spacing w:before="220"/>
        <w:ind w:firstLine="540"/>
        <w:jc w:val="both"/>
      </w:pPr>
      <w:hyperlink w:anchor="P204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766E22" w:rsidRDefault="00766E22">
      <w:pPr>
        <w:pStyle w:val="ConsPlusNormal"/>
        <w:spacing w:before="220"/>
        <w:ind w:firstLine="540"/>
        <w:jc w:val="both"/>
      </w:pPr>
      <w:hyperlink w:anchor="P2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6E22" w:rsidRDefault="00766E2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6" w:history="1">
        <w:r>
          <w:rPr>
            <w:color w:val="0000FF"/>
          </w:rPr>
          <w:t>Перечень</w:t>
        </w:r>
      </w:hyperlink>
      <w:r>
        <w:t xml:space="preserve"> направлений подготовки высшего образования - бакалавриата,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t xml:space="preserve">., </w:t>
      </w:r>
      <w:proofErr w:type="gramStart"/>
      <w: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Title"/>
        <w:jc w:val="center"/>
        <w:outlineLvl w:val="2"/>
      </w:pPr>
      <w:r>
        <w:t>Структура программы бакалавриата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jc w:val="right"/>
      </w:pPr>
      <w:r>
        <w:t>Таблица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sectPr w:rsidR="00766E22" w:rsidSect="003D3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140"/>
        <w:gridCol w:w="2250"/>
        <w:gridCol w:w="2250"/>
      </w:tblGrid>
      <w:tr w:rsidR="00766E22">
        <w:tc>
          <w:tcPr>
            <w:tcW w:w="5282" w:type="dxa"/>
            <w:gridSpan w:val="2"/>
            <w:vMerge w:val="restart"/>
          </w:tcPr>
          <w:p w:rsidR="00766E22" w:rsidRDefault="00766E22">
            <w:pPr>
              <w:pStyle w:val="ConsPlusNormal"/>
              <w:jc w:val="center"/>
            </w:pPr>
            <w:r>
              <w:lastRenderedPageBreak/>
              <w:t>Структура программы бакалавриата</w:t>
            </w:r>
          </w:p>
        </w:tc>
        <w:tc>
          <w:tcPr>
            <w:tcW w:w="4500" w:type="dxa"/>
            <w:gridSpan w:val="2"/>
          </w:tcPr>
          <w:p w:rsidR="00766E22" w:rsidRDefault="00766E22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766E22">
        <w:tc>
          <w:tcPr>
            <w:tcW w:w="5282" w:type="dxa"/>
            <w:gridSpan w:val="2"/>
            <w:vMerge/>
          </w:tcPr>
          <w:p w:rsidR="00766E22" w:rsidRDefault="00766E22"/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академического</w:t>
            </w:r>
            <w:proofErr w:type="gramEnd"/>
            <w:r>
              <w:t xml:space="preserve"> бакалавриата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 xml:space="preserve">Программа </w:t>
            </w:r>
            <w:proofErr w:type="gramStart"/>
            <w:r>
              <w:t>прикладного</w:t>
            </w:r>
            <w:proofErr w:type="gramEnd"/>
            <w:r>
              <w:t xml:space="preserve"> бакалавриата</w:t>
            </w:r>
          </w:p>
        </w:tc>
      </w:tr>
      <w:tr w:rsidR="00766E22">
        <w:tc>
          <w:tcPr>
            <w:tcW w:w="1142" w:type="dxa"/>
          </w:tcPr>
          <w:p w:rsidR="00766E22" w:rsidRDefault="00766E22">
            <w:pPr>
              <w:pStyle w:val="ConsPlusNormal"/>
            </w:pPr>
            <w:bookmarkStart w:id="1" w:name="P193"/>
            <w:bookmarkEnd w:id="1"/>
            <w:r>
              <w:t>Блок 1</w:t>
            </w:r>
          </w:p>
        </w:tc>
        <w:tc>
          <w:tcPr>
            <w:tcW w:w="4140" w:type="dxa"/>
          </w:tcPr>
          <w:p w:rsidR="00766E22" w:rsidRDefault="00766E2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204 - 210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186 - 198</w:t>
            </w:r>
          </w:p>
        </w:tc>
      </w:tr>
      <w:tr w:rsidR="00766E22">
        <w:tc>
          <w:tcPr>
            <w:tcW w:w="1142" w:type="dxa"/>
            <w:vMerge w:val="restart"/>
          </w:tcPr>
          <w:p w:rsidR="00766E22" w:rsidRDefault="00766E22">
            <w:pPr>
              <w:pStyle w:val="ConsPlusNormal"/>
            </w:pPr>
          </w:p>
        </w:tc>
        <w:tc>
          <w:tcPr>
            <w:tcW w:w="4140" w:type="dxa"/>
          </w:tcPr>
          <w:p w:rsidR="00766E22" w:rsidRDefault="00766E22">
            <w:pPr>
              <w:pStyle w:val="ConsPlusNormal"/>
            </w:pPr>
            <w:r>
              <w:t>Базовая часть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99 - 105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99 - 105</w:t>
            </w:r>
          </w:p>
        </w:tc>
      </w:tr>
      <w:tr w:rsidR="00766E22">
        <w:tc>
          <w:tcPr>
            <w:tcW w:w="1142" w:type="dxa"/>
            <w:vMerge/>
          </w:tcPr>
          <w:p w:rsidR="00766E22" w:rsidRDefault="00766E22"/>
        </w:tc>
        <w:tc>
          <w:tcPr>
            <w:tcW w:w="4140" w:type="dxa"/>
          </w:tcPr>
          <w:p w:rsidR="00766E22" w:rsidRDefault="00766E2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87 - 93</w:t>
            </w:r>
          </w:p>
        </w:tc>
      </w:tr>
      <w:tr w:rsidR="00766E22">
        <w:tc>
          <w:tcPr>
            <w:tcW w:w="1142" w:type="dxa"/>
            <w:vMerge w:val="restart"/>
          </w:tcPr>
          <w:p w:rsidR="00766E22" w:rsidRDefault="00766E22">
            <w:pPr>
              <w:pStyle w:val="ConsPlusNormal"/>
            </w:pPr>
            <w:bookmarkStart w:id="2" w:name="P204"/>
            <w:bookmarkEnd w:id="2"/>
            <w:r>
              <w:t>Блок 2</w:t>
            </w:r>
          </w:p>
        </w:tc>
        <w:tc>
          <w:tcPr>
            <w:tcW w:w="4140" w:type="dxa"/>
          </w:tcPr>
          <w:p w:rsidR="00766E22" w:rsidRDefault="00766E22">
            <w:pPr>
              <w:pStyle w:val="ConsPlusNormal"/>
            </w:pPr>
            <w:r>
              <w:t>Практики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33 - 48</w:t>
            </w:r>
          </w:p>
        </w:tc>
      </w:tr>
      <w:tr w:rsidR="00766E22">
        <w:tc>
          <w:tcPr>
            <w:tcW w:w="1142" w:type="dxa"/>
            <w:vMerge/>
          </w:tcPr>
          <w:p w:rsidR="00766E22" w:rsidRDefault="00766E22"/>
        </w:tc>
        <w:tc>
          <w:tcPr>
            <w:tcW w:w="4140" w:type="dxa"/>
          </w:tcPr>
          <w:p w:rsidR="00766E22" w:rsidRDefault="00766E2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33 - 48</w:t>
            </w:r>
          </w:p>
        </w:tc>
      </w:tr>
      <w:tr w:rsidR="00766E22">
        <w:tc>
          <w:tcPr>
            <w:tcW w:w="1142" w:type="dxa"/>
            <w:vMerge w:val="restart"/>
          </w:tcPr>
          <w:p w:rsidR="00766E22" w:rsidRDefault="00766E22">
            <w:pPr>
              <w:pStyle w:val="ConsPlusNormal"/>
            </w:pPr>
            <w:bookmarkStart w:id="3" w:name="P211"/>
            <w:bookmarkEnd w:id="3"/>
            <w:r>
              <w:t>Блок 3</w:t>
            </w:r>
          </w:p>
        </w:tc>
        <w:tc>
          <w:tcPr>
            <w:tcW w:w="4140" w:type="dxa"/>
          </w:tcPr>
          <w:p w:rsidR="00766E22" w:rsidRDefault="00766E2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6 - 9</w:t>
            </w:r>
          </w:p>
        </w:tc>
      </w:tr>
      <w:tr w:rsidR="00766E22">
        <w:tc>
          <w:tcPr>
            <w:tcW w:w="1142" w:type="dxa"/>
            <w:vMerge/>
          </w:tcPr>
          <w:p w:rsidR="00766E22" w:rsidRDefault="00766E22"/>
        </w:tc>
        <w:tc>
          <w:tcPr>
            <w:tcW w:w="4140" w:type="dxa"/>
          </w:tcPr>
          <w:p w:rsidR="00766E22" w:rsidRDefault="00766E22">
            <w:pPr>
              <w:pStyle w:val="ConsPlusNormal"/>
            </w:pPr>
            <w:r>
              <w:t>Базовая часть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6 - 9</w:t>
            </w:r>
          </w:p>
        </w:tc>
      </w:tr>
      <w:tr w:rsidR="00766E22">
        <w:tc>
          <w:tcPr>
            <w:tcW w:w="5282" w:type="dxa"/>
            <w:gridSpan w:val="2"/>
          </w:tcPr>
          <w:p w:rsidR="00766E22" w:rsidRDefault="00766E22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250" w:type="dxa"/>
          </w:tcPr>
          <w:p w:rsidR="00766E22" w:rsidRDefault="00766E22">
            <w:pPr>
              <w:pStyle w:val="ConsPlusNormal"/>
              <w:jc w:val="center"/>
            </w:pPr>
            <w:r>
              <w:t>240</w:t>
            </w:r>
          </w:p>
        </w:tc>
      </w:tr>
    </w:tbl>
    <w:p w:rsidR="00766E22" w:rsidRDefault="00766E22">
      <w:pPr>
        <w:sectPr w:rsidR="00766E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9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193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бакалавриата в объеме не менее 72 академических часов (2 з.е.) в очной форме обучения;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6.6. Дисциплины (модули), относящиеся к вариативной части программы бакалавриата, и практики определяют направленность (профиль) программы бакалавриата. Набор дисциплин (модулей), относящихся к вариативной части программы бакалавриата, и практик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04" w:history="1">
        <w:r>
          <w:rPr>
            <w:color w:val="0000FF"/>
          </w:rPr>
          <w:t>Блок 2</w:t>
        </w:r>
      </w:hyperlink>
      <w:r>
        <w:t xml:space="preserve"> "Практики" входят учебная и производственная, в том числе преддипломная, практики.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стационарная;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выездная.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lastRenderedPageBreak/>
        <w:t>Способы проведения производственной практики: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стационарная;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выездная.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1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19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93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Title"/>
        <w:jc w:val="center"/>
        <w:outlineLvl w:val="1"/>
      </w:pPr>
      <w:r>
        <w:t>VII. ТРЕБОВАНИЯ К УСЛОВИЯМ РЕАЛИЗАЦИИ</w:t>
      </w:r>
    </w:p>
    <w:p w:rsidR="00766E22" w:rsidRDefault="00766E22">
      <w:pPr>
        <w:pStyle w:val="ConsPlusTitle"/>
        <w:jc w:val="center"/>
      </w:pPr>
      <w:r>
        <w:t>ПРОГРАММЫ БАКАЛАВРИАТА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Title"/>
        <w:ind w:firstLine="540"/>
        <w:jc w:val="both"/>
        <w:outlineLvl w:val="2"/>
      </w:pPr>
      <w:r>
        <w:t>7.1. Общесистемные требования к реализации программы бакалавриата.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практик, к изданиям </w:t>
      </w:r>
      <w: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6E22" w:rsidRDefault="00766E22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4243; N 48, ст. 6645; 2015, N 1, ст. 84),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2009, N 48, ст. 5716; 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9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</w:t>
      </w:r>
      <w:r>
        <w:lastRenderedPageBreak/>
        <w:t>педагогических работников организации.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Title"/>
        <w:ind w:firstLine="540"/>
        <w:jc w:val="both"/>
        <w:outlineLvl w:val="2"/>
      </w:pPr>
      <w:r>
        <w:t>7.2. Требования к кадровым условиям реализации программы бакалавриата.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процентов,</w:t>
      </w:r>
      <w:proofErr w:type="gramEnd"/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50 процентов.</w:t>
      </w:r>
      <w:proofErr w:type="gramEnd"/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составлять не менее 10 процентов.</w:t>
      </w:r>
      <w:proofErr w:type="gramEnd"/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Title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</w:t>
      </w:r>
      <w:r>
        <w:lastRenderedPageBreak/>
        <w:t>деятельностью.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Title"/>
        <w:ind w:firstLine="540"/>
        <w:jc w:val="both"/>
        <w:outlineLvl w:val="2"/>
      </w:pPr>
      <w:r>
        <w:t>7.4. Требования к финансовым условиям реализации программы бакалавриата.</w:t>
      </w:r>
    </w:p>
    <w:p w:rsidR="00766E22" w:rsidRDefault="00766E22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программ, в с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ind w:firstLine="540"/>
        <w:jc w:val="both"/>
      </w:pPr>
    </w:p>
    <w:p w:rsidR="00766E22" w:rsidRDefault="00766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CDA" w:rsidRDefault="00766E22"/>
    <w:sectPr w:rsidR="00176CDA" w:rsidSect="004464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grammar="clean"/>
  <w:defaultTabStop w:val="708"/>
  <w:characterSpacingControl w:val="doNotCompress"/>
  <w:compat/>
  <w:rsids>
    <w:rsidRoot w:val="00766E22"/>
    <w:rsid w:val="002C714A"/>
    <w:rsid w:val="003D089B"/>
    <w:rsid w:val="00766E22"/>
    <w:rsid w:val="008F561B"/>
    <w:rsid w:val="00D92F66"/>
    <w:rsid w:val="00EF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8EE0E5CDA123DD1FEC5CE9696C38A9D6577594F7966C5FD9775C6889B26AE1F8DE9662E209086C91CCF00292Bh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88EE0E5CDA123DD1FEC5CE9696C38A9D65725E4C7B66C5FD9775C6889B26AE1F8DE9662E209086C91CCF00292Bh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8EE0E5CDA123DD1FEC5CE9696C38A9D63725A4D7A66C5FD9775C6889B26AE0D8DB16A2F218D8EC90999516FE687A553EECF87F2559BE329h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88EE0E5CDA123DD1FEC5CE9696C38A9C68715D497266C5FD9775C6889B26AE0D8DB16A2F238E83CB0999516FE687A553EECF87F2559BE329h3H" TargetMode="External"/><Relationship Id="rId10" Type="http://schemas.openxmlformats.org/officeDocument/2006/relationships/hyperlink" Target="consultantplus://offline/ref=0588EE0E5CDA123DD1FEC5CE9696C38A9F687F52497E66C5FD9775C6889B26AE0D8DB16A2F238E86CE0999516FE687A553EECF87F2559BE329h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88EE0E5CDA123DD1FEC5CE9696C38A9F61745F497C66C5FD9775C6889B26AE0D8DB16A2F238E86C90999516FE687A553EECF87F2559BE329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5558</Words>
  <Characters>31685</Characters>
  <Application>Microsoft Office Word</Application>
  <DocSecurity>0</DocSecurity>
  <Lines>264</Lines>
  <Paragraphs>74</Paragraphs>
  <ScaleCrop>false</ScaleCrop>
  <Company/>
  <LinksUpToDate>false</LinksUpToDate>
  <CharactersWithSpaces>37169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SakharovaS.Y</dc:creator>
  <cp:lastModifiedBy>SakharovaS.Y</cp:lastModifiedBy>
  <cp:revision>1</cp:revision>
  <dcterms:created xsi:type="dcterms:W3CDTF">2020-10-13T07:33:00Z</dcterms:created>
  <dcterms:modified xsi:type="dcterms:W3CDTF">2020-10-13T07:34:00Z</dcterms:modified>
</cp:coreProperties>
</file>