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57" w:rsidRDefault="00846EC2" w:rsidP="00846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EC2">
        <w:rPr>
          <w:rFonts w:ascii="Times New Roman" w:hAnsi="Times New Roman"/>
          <w:b/>
          <w:sz w:val="28"/>
          <w:szCs w:val="28"/>
        </w:rPr>
        <w:t>Основные результаты научно-исследовательской деятельности университета за 202</w:t>
      </w:r>
      <w:r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Pr="00846E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46EC2" w:rsidRPr="00846EC2" w:rsidRDefault="00846EC2" w:rsidP="00846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прикладные и фундаментальные научные исследования в </w:t>
      </w:r>
      <w:r>
        <w:rPr>
          <w:rFonts w:ascii="Times New Roman" w:hAnsi="Times New Roman"/>
          <w:sz w:val="28"/>
          <w:szCs w:val="28"/>
        </w:rPr>
        <w:t>ФГАОУ ВО «Самарский государственный экономический университет» осуществлялись научным коллективом Университета преимущественно по заказам федеральных и региональных органов государственной власти, и местного самоуправления, а также хозяйствующих субъектов,</w:t>
      </w:r>
      <w:r>
        <w:rPr>
          <w:rFonts w:ascii="Times New Roman" w:hAnsi="Times New Roman"/>
          <w:sz w:val="28"/>
          <w:szCs w:val="28"/>
        </w:rPr>
        <w:t xml:space="preserve"> по следующим основным научным направлениям: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экономико-математического моделирование, прогнозирование и стратегическое планирование социально-экономического развития муниципальных образований и субъектов РФ;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 совершенствования экономики, органи</w:t>
      </w:r>
      <w:r>
        <w:rPr>
          <w:rFonts w:ascii="Times New Roman" w:hAnsi="Times New Roman"/>
          <w:sz w:val="28"/>
          <w:szCs w:val="28"/>
        </w:rPr>
        <w:t>зации и управления промышленными предприятиями;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системы менеджмента, обеспечивающие инновационное развитие российских организаций;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структура, социальные институты и процессы</w:t>
      </w:r>
      <w:r>
        <w:rPr>
          <w:rFonts w:ascii="Arial" w:eastAsia="Arial" w:hAnsi="Arial" w:cs="Arial"/>
          <w:color w:val="475055"/>
          <w:sz w:val="28"/>
          <w:szCs w:val="28"/>
          <w:highlight w:val="white"/>
        </w:rPr>
        <w:t>.</w:t>
      </w:r>
    </w:p>
    <w:p w:rsidR="005D2657" w:rsidRDefault="005D2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657" w:rsidRDefault="0006254A" w:rsidP="0006254A">
      <w:pPr>
        <w:pStyle w:val="1"/>
        <w:numPr>
          <w:ilvl w:val="0"/>
          <w:numId w:val="0"/>
        </w:numPr>
        <w:spacing w:before="0" w:line="240" w:lineRule="auto"/>
        <w:ind w:left="720"/>
        <w:jc w:val="left"/>
      </w:pPr>
      <w:bookmarkStart w:id="1" w:name="_Toc126320796"/>
      <w:r>
        <w:t>С</w:t>
      </w:r>
      <w:r w:rsidR="00E0057A">
        <w:t>одержание научно-исследовательской деятельности в ра</w:t>
      </w:r>
      <w:r w:rsidR="00E0057A">
        <w:t>мках заключенных договоров</w:t>
      </w:r>
      <w:bookmarkEnd w:id="1"/>
    </w:p>
    <w:p w:rsidR="005D2657" w:rsidRDefault="005D2657">
      <w:pPr>
        <w:pStyle w:val="af7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2023 года количество реализованных научно-исследовательских работ (далее-НИР) возросло более чем в 1,7 раза по сравнению с 2022 годом и составило 35 научных проектов с общим объемом финансирования 15 353,4 тыс. руб., в</w:t>
      </w:r>
      <w:r>
        <w:rPr>
          <w:rFonts w:ascii="Times New Roman" w:hAnsi="Times New Roman"/>
          <w:sz w:val="28"/>
          <w:szCs w:val="28"/>
        </w:rPr>
        <w:t xml:space="preserve"> том числе прикладные исследования – 8 109,0 тыс. руб., что составляет 52,8% от общего объема выполненных НИР, фундаментальные - 7 244,4 тыс. руб. – 47,8%.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средств, полученных Университетом от реализации научно-исследовательских проектов, в расчете н</w:t>
      </w:r>
      <w:r>
        <w:rPr>
          <w:rFonts w:ascii="Times New Roman" w:hAnsi="Times New Roman"/>
          <w:sz w:val="28"/>
          <w:szCs w:val="28"/>
        </w:rPr>
        <w:t xml:space="preserve">а 1 НПР в 2023 году увеличился на 28,9% к уровню 2022 года и составил 70,97 тыс. руб., что ниже </w:t>
      </w:r>
      <w:proofErr w:type="spellStart"/>
      <w:r>
        <w:rPr>
          <w:rFonts w:ascii="Times New Roman" w:hAnsi="Times New Roman"/>
          <w:sz w:val="28"/>
          <w:szCs w:val="28"/>
        </w:rPr>
        <w:t>среднеобластных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значений - 130,30 тыс. руб. 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отмечена положительная тенденция увеличения общего объема финансирования НИР на 115,4 тыс. руб. (0,76 %), </w:t>
      </w:r>
      <w:r>
        <w:rPr>
          <w:rFonts w:ascii="Times New Roman" w:hAnsi="Times New Roman"/>
          <w:sz w:val="28"/>
          <w:szCs w:val="28"/>
        </w:rPr>
        <w:t xml:space="preserve">за счет эффективной работы ряда кафедр университета и получения государственного задания Министерства науки и высшего образования РФ в объеме 5 999,4 тыс. руб. Центром Азии, Африки и Латинской Америки СГЭУ на 2023 год и плановый период до 2027 года. 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Этих </w:t>
      </w:r>
      <w:r>
        <w:rPr>
          <w:rFonts w:ascii="Times New Roman" w:hAnsi="Times New Roman"/>
          <w:sz w:val="28"/>
          <w:szCs w:val="28"/>
        </w:rPr>
        <w:t xml:space="preserve">средств оказалось достаточно, чтобы перекрыть отрицательные финансовые результаты деятельности Лаборатории доказательной и социальной политики, Лаборатории макроэкономического прогнозирования и стратегического планирования, </w:t>
      </w:r>
      <w:proofErr w:type="spellStart"/>
      <w:r>
        <w:rPr>
          <w:rFonts w:ascii="Times New Roman" w:hAnsi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(табл. 1)</w:t>
      </w:r>
      <w:r>
        <w:rPr>
          <w:rFonts w:ascii="Times New Roman" w:hAnsi="Times New Roman"/>
          <w:sz w:val="28"/>
          <w:szCs w:val="28"/>
        </w:rPr>
        <w:t>.</w:t>
      </w:r>
    </w:p>
    <w:p w:rsidR="005D2657" w:rsidRDefault="005D265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D2657" w:rsidRDefault="005D265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D2657" w:rsidRDefault="005D2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657" w:rsidRDefault="005D2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657" w:rsidRDefault="005D2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657" w:rsidRDefault="005D2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657" w:rsidRDefault="005D2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Таблица 1 -  Динамика общего объема научно-исследовательских работ за период 2022-2023 гг.</w:t>
      </w:r>
    </w:p>
    <w:tbl>
      <w:tblPr>
        <w:tblW w:w="9489" w:type="dxa"/>
        <w:tblInd w:w="3" w:type="dxa"/>
        <w:tblLayout w:type="fixed"/>
        <w:tblCellMar>
          <w:left w:w="7" w:type="dxa"/>
          <w:right w:w="7" w:type="dxa"/>
        </w:tblCellMar>
        <w:tblLook w:val="0600" w:firstRow="0" w:lastRow="0" w:firstColumn="0" w:lastColumn="0" w:noHBand="1" w:noVBand="1"/>
      </w:tblPr>
      <w:tblGrid>
        <w:gridCol w:w="2967"/>
        <w:gridCol w:w="1842"/>
        <w:gridCol w:w="1702"/>
        <w:gridCol w:w="1696"/>
        <w:gridCol w:w="1282"/>
      </w:tblGrid>
      <w:tr w:rsidR="005D2657">
        <w:trPr>
          <w:trHeight w:val="1440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ind w:left="-120" w:right="-12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 г. фактическое значение показателя, тыс. руб.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г. фактическое значение показателя, тыс. руб.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Абсолютный прирост, тыс.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Темп прироста, %</w:t>
            </w:r>
          </w:p>
        </w:tc>
      </w:tr>
      <w:tr w:rsidR="005D2657">
        <w:trPr>
          <w:trHeight w:val="907"/>
        </w:trPr>
        <w:tc>
          <w:tcPr>
            <w:tcW w:w="2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ind w:left="-120" w:right="-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Научно-исследовательская деятельность, всего, в том числе: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15 238,00</w:t>
            </w:r>
          </w:p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15 353,40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</w:tr>
      <w:tr w:rsidR="005D2657">
        <w:trPr>
          <w:trHeight w:val="1155"/>
        </w:trPr>
        <w:tc>
          <w:tcPr>
            <w:tcW w:w="2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ind w:left="-120" w:right="-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КАФЕДРЫ</w:t>
            </w:r>
          </w:p>
          <w:p w:rsidR="005D2657" w:rsidRDefault="00E0057A">
            <w:pPr>
              <w:widowControl w:val="0"/>
              <w:spacing w:after="0" w:line="240" w:lineRule="auto"/>
              <w:ind w:left="-120" w:right="-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(управление организации научных исследований и подготовки научных кадров)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4 335,00</w:t>
            </w:r>
          </w:p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8 109,00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3 774,0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87,06</w:t>
            </w:r>
          </w:p>
        </w:tc>
      </w:tr>
      <w:tr w:rsidR="005D2657">
        <w:trPr>
          <w:trHeight w:val="375"/>
        </w:trPr>
        <w:tc>
          <w:tcPr>
            <w:tcW w:w="2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ind w:left="-120" w:right="-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Гранты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5 372,00</w:t>
            </w:r>
          </w:p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1 245,00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4 127,0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- 76,82</w:t>
            </w:r>
          </w:p>
        </w:tc>
      </w:tr>
      <w:tr w:rsidR="005D2657">
        <w:trPr>
          <w:trHeight w:val="1710"/>
        </w:trPr>
        <w:tc>
          <w:tcPr>
            <w:tcW w:w="2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ind w:left="-120" w:right="-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Лаборатория макроэкономического прогнозирования и стратегического планирования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В.А.)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5 500,00</w:t>
            </w:r>
          </w:p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- 5 500,00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D2657">
        <w:trPr>
          <w:trHeight w:val="975"/>
        </w:trPr>
        <w:tc>
          <w:tcPr>
            <w:tcW w:w="2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ind w:left="-120" w:right="-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Лаборатория доказательной и социальной политики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Звоновский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В.Б.)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31,00</w:t>
            </w:r>
          </w:p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-31,00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D2657">
        <w:trPr>
          <w:trHeight w:val="870"/>
        </w:trPr>
        <w:tc>
          <w:tcPr>
            <w:tcW w:w="2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ind w:left="-120" w:right="-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изучения стран Азии, </w:t>
            </w:r>
            <w:r>
              <w:rPr>
                <w:rFonts w:ascii="Times New Roman" w:hAnsi="Times New Roman"/>
                <w:sz w:val="28"/>
                <w:szCs w:val="28"/>
              </w:rPr>
              <w:t>Африки и Латинской Америки (Хмелева Г.А.)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5 999,4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5 999,4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D2657" w:rsidRDefault="005D2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объем финансирования НИР, реализуемых кафедрами университета, увеличился на 3 774,0 тыс. руб. (87,06%). При этом объем финансирования по грантам сократился на 4 127,0 тыс. руб. (-76,82%), что обусловлено низкой </w:t>
      </w:r>
      <w:proofErr w:type="spellStart"/>
      <w:r>
        <w:rPr>
          <w:rFonts w:ascii="Times New Roman" w:hAnsi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активностью ППС </w:t>
      </w:r>
      <w:r>
        <w:rPr>
          <w:rFonts w:ascii="Times New Roman" w:hAnsi="Times New Roman"/>
          <w:sz w:val="28"/>
          <w:szCs w:val="28"/>
        </w:rPr>
        <w:t xml:space="preserve">университета на фоне завершения ранее поддержанных научными фондами грантов. 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 существенная дифференциация кафедр Университета по объемам привлеченного финансирования на выполнение НИР за 2023 год. При этом состав кафедр, успешно реализующих темы</w:t>
      </w:r>
      <w:r>
        <w:rPr>
          <w:rFonts w:ascii="Times New Roman" w:hAnsi="Times New Roman"/>
          <w:sz w:val="28"/>
          <w:szCs w:val="28"/>
        </w:rPr>
        <w:t xml:space="preserve"> НИР, из года в год остается постоянным. </w:t>
      </w:r>
    </w:p>
    <w:p w:rsidR="005D2657" w:rsidRDefault="00E0057A">
      <w:pPr>
        <w:spacing w:after="0" w:line="240" w:lineRule="auto"/>
        <w:ind w:left="708" w:hanging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Кафедра региональной экономики и управления — 2 950,0 тыс. руб.;</w:t>
      </w:r>
    </w:p>
    <w:p w:rsidR="005D2657" w:rsidRDefault="00E0057A">
      <w:pPr>
        <w:spacing w:after="0" w:line="240" w:lineRule="auto"/>
        <w:ind w:left="708" w:hanging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Кафедра права (</w:t>
      </w:r>
      <w:proofErr w:type="spellStart"/>
      <w:r>
        <w:rPr>
          <w:rFonts w:ascii="Times New Roman" w:hAnsi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филиал) — 1 440,0 тыс. руб.;</w:t>
      </w:r>
    </w:p>
    <w:p w:rsidR="005D2657" w:rsidRDefault="00E0057A">
      <w:pPr>
        <w:spacing w:after="0" w:line="240" w:lineRule="auto"/>
        <w:ind w:left="708" w:hanging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Кафедра маркетинга, логистики и рекламы - 1 000,0 тыс. руб.;</w:t>
      </w:r>
    </w:p>
    <w:p w:rsidR="005D2657" w:rsidRDefault="00E0057A">
      <w:pPr>
        <w:spacing w:after="0" w:line="240" w:lineRule="auto"/>
        <w:ind w:left="708" w:hanging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Кафедра экономической</w:t>
      </w:r>
      <w:r>
        <w:rPr>
          <w:rFonts w:ascii="Times New Roman" w:hAnsi="Times New Roman"/>
          <w:sz w:val="28"/>
          <w:szCs w:val="28"/>
        </w:rPr>
        <w:t xml:space="preserve"> теории - 700,0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D2657" w:rsidRDefault="00E0057A">
      <w:pPr>
        <w:spacing w:after="0" w:line="240" w:lineRule="auto"/>
        <w:ind w:left="708" w:hanging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Кафедра экономики и управления (</w:t>
      </w:r>
      <w:proofErr w:type="spellStart"/>
      <w:r>
        <w:rPr>
          <w:rFonts w:ascii="Times New Roman" w:hAnsi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филиал) — 460,0 тыс. руб.;</w:t>
      </w:r>
    </w:p>
    <w:p w:rsidR="005D2657" w:rsidRDefault="00E0057A">
      <w:pPr>
        <w:spacing w:after="0" w:line="240" w:lineRule="auto"/>
        <w:ind w:left="708" w:hanging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Кафедра менеджмента — 350,0 тыс. руб.;</w:t>
      </w:r>
    </w:p>
    <w:p w:rsidR="005D2657" w:rsidRDefault="00E0057A">
      <w:pPr>
        <w:spacing w:after="0" w:line="240" w:lineRule="auto"/>
        <w:ind w:left="708" w:hanging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Кафедра статистики и эконометрики - 320,0 тыс. руб.</w:t>
      </w:r>
    </w:p>
    <w:p w:rsidR="005D2657" w:rsidRDefault="005D2657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left="708" w:hanging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Кафедра учета, анализа и экономической безопасности - </w:t>
      </w:r>
      <w:r>
        <w:rPr>
          <w:rFonts w:ascii="Times New Roman" w:hAnsi="Times New Roman"/>
          <w:sz w:val="28"/>
          <w:szCs w:val="28"/>
        </w:rPr>
        <w:t>260,0 тыс. руб.;</w:t>
      </w:r>
    </w:p>
    <w:p w:rsidR="005D2657" w:rsidRDefault="00E0057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Кафедра экономики, организации и стратегии развития предприятия - 250,0 тыс. руб.;</w:t>
      </w:r>
    </w:p>
    <w:p w:rsidR="005D2657" w:rsidRDefault="00E0057A">
      <w:pPr>
        <w:spacing w:after="0" w:line="240" w:lineRule="auto"/>
        <w:ind w:left="708" w:hanging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Кафедра социологии и психологии - 120,0 тыс. руб.;</w:t>
      </w:r>
    </w:p>
    <w:p w:rsidR="005D2657" w:rsidRDefault="00E0057A">
      <w:pPr>
        <w:spacing w:after="0" w:line="240" w:lineRule="auto"/>
        <w:ind w:left="708" w:hanging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Кафедра гражданского и арбитражного процесса - 100,0 тыс. руб.</w:t>
      </w:r>
    </w:p>
    <w:p w:rsidR="005D2657" w:rsidRDefault="00E0057A">
      <w:pPr>
        <w:spacing w:after="0" w:line="240" w:lineRule="auto"/>
        <w:ind w:left="708" w:hanging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Кафедра философии и истории - </w:t>
      </w:r>
      <w:r>
        <w:rPr>
          <w:rFonts w:ascii="Times New Roman" w:hAnsi="Times New Roman"/>
          <w:sz w:val="28"/>
          <w:szCs w:val="28"/>
        </w:rPr>
        <w:t>100,0 тыс. руб.</w:t>
      </w:r>
    </w:p>
    <w:p w:rsidR="005D2657" w:rsidRDefault="005D2657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Кафедра правового обеспечения экономической деятельности - 35,0 тыс. руб.;</w:t>
      </w:r>
    </w:p>
    <w:p w:rsidR="005D2657" w:rsidRDefault="00E0057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Кафедра организации борьбы с экономическими преступлениями - 24,0 тыс. </w:t>
      </w:r>
    </w:p>
    <w:p w:rsidR="005D2657" w:rsidRDefault="00E0057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руб.</w:t>
      </w:r>
    </w:p>
    <w:p w:rsidR="005D2657" w:rsidRDefault="005D2657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left="1428" w:hanging="708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Кафедры, не реализовавшие темы НИР, в 2023 году:</w:t>
      </w:r>
    </w:p>
    <w:p w:rsidR="005D2657" w:rsidRDefault="00E0057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Кафедра управления персонало</w:t>
      </w:r>
      <w:r>
        <w:rPr>
          <w:rFonts w:ascii="Times New Roman" w:hAnsi="Times New Roman"/>
          <w:sz w:val="28"/>
          <w:szCs w:val="28"/>
        </w:rPr>
        <w:t>м;</w:t>
      </w:r>
    </w:p>
    <w:p w:rsidR="005D2657" w:rsidRDefault="00E0057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Кафедра теории права и публично-правовых дисциплин;</w:t>
      </w:r>
    </w:p>
    <w:p w:rsidR="005D2657" w:rsidRDefault="00E0057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Кафедра землеустройства и экологии;</w:t>
      </w:r>
    </w:p>
    <w:p w:rsidR="005D2657" w:rsidRDefault="00E0057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Кафедра прикладного менеджмента;</w:t>
      </w:r>
    </w:p>
    <w:p w:rsidR="005D2657" w:rsidRDefault="00E0057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Кафедра финансов;</w:t>
      </w:r>
    </w:p>
    <w:p w:rsidR="005D2657" w:rsidRDefault="00E0057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Кафедра прикладной информатики.</w:t>
      </w:r>
    </w:p>
    <w:p w:rsidR="005D2657" w:rsidRDefault="005D26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2023 года более 70,0% тем НИР в Университете реализовано</w:t>
      </w:r>
      <w:r>
        <w:rPr>
          <w:rFonts w:ascii="Times New Roman" w:hAnsi="Times New Roman"/>
          <w:sz w:val="28"/>
          <w:szCs w:val="28"/>
        </w:rPr>
        <w:t xml:space="preserve"> в интересах индустриальных партнеров. Среди выполненных научным коллективом СГЭУ научно-исследовательских работ в 2023 году можно выделить следующие темы: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«Проведение мониторинга ключевых показателей эффективности мероприятий по внедрению Национальной с</w:t>
      </w:r>
      <w:r>
        <w:rPr>
          <w:rFonts w:ascii="Times New Roman" w:hAnsi="Times New Roman"/>
          <w:sz w:val="28"/>
          <w:szCs w:val="28"/>
        </w:rPr>
        <w:t xml:space="preserve">оциальной инициативы на территории Самарской области в рамках научно-практических мероприятий (проектов, направленных на развитие в Самарской области социальной сферы)» (научный руководитель – к.э.н., </w:t>
      </w:r>
      <w:r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>
        <w:rPr>
          <w:rFonts w:ascii="Times New Roman" w:hAnsi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Л.К.; объ</w:t>
      </w:r>
      <w:r>
        <w:rPr>
          <w:rFonts w:ascii="Times New Roman" w:hAnsi="Times New Roman"/>
          <w:sz w:val="28"/>
          <w:szCs w:val="28"/>
        </w:rPr>
        <w:t>ем финансирования 1 400,0 тыс. р</w:t>
      </w:r>
      <w:r>
        <w:rPr>
          <w:rFonts w:ascii="Times New Roman" w:hAnsi="Times New Roman"/>
          <w:sz w:val="28"/>
          <w:szCs w:val="28"/>
        </w:rPr>
        <w:t>уб.); Тема НИР выполнена по заказу Самарской региональной социально-патриотической общественной организации «Губерния» (г. Самара);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«Оценка потенциала управления бизнес-процессами в проектной деятельности» (научный руководитель – д.э.н., профессор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Яхнеев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</w:t>
      </w:r>
      <w:r>
        <w:rPr>
          <w:rFonts w:ascii="Times New Roman" w:hAnsi="Times New Roman"/>
          <w:sz w:val="28"/>
          <w:szCs w:val="28"/>
        </w:rPr>
        <w:t xml:space="preserve"> объем финансирования - 500 тыс. руб.). Тема НИР выполнена по заказу ООО «Волга-Инжиниринг» (г. Самара);</w:t>
      </w:r>
    </w:p>
    <w:p w:rsidR="005D2657" w:rsidRDefault="00E0057A">
      <w:pPr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«Исследование функциональных процессов в логистических системах </w:t>
      </w:r>
      <w:proofErr w:type="spellStart"/>
      <w:r>
        <w:rPr>
          <w:rFonts w:ascii="Times New Roman" w:hAnsi="Times New Roman"/>
          <w:sz w:val="28"/>
          <w:szCs w:val="28"/>
        </w:rPr>
        <w:t>маркетплейсов</w:t>
      </w:r>
      <w:proofErr w:type="spellEnd"/>
      <w:r>
        <w:rPr>
          <w:rFonts w:ascii="Times New Roman" w:hAnsi="Times New Roman"/>
          <w:sz w:val="28"/>
          <w:szCs w:val="28"/>
        </w:rPr>
        <w:t xml:space="preserve">» (научный руководитель – д.э.н., профессор </w:t>
      </w:r>
      <w:proofErr w:type="spellStart"/>
      <w:r>
        <w:rPr>
          <w:rFonts w:ascii="Times New Roman" w:hAnsi="Times New Roman"/>
          <w:sz w:val="28"/>
          <w:szCs w:val="28"/>
        </w:rPr>
        <w:t>Яхнеева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 </w:t>
      </w:r>
      <w:r>
        <w:rPr>
          <w:rFonts w:ascii="Times New Roman" w:hAnsi="Times New Roman"/>
          <w:sz w:val="28"/>
          <w:szCs w:val="28"/>
        </w:rPr>
        <w:lastRenderedPageBreak/>
        <w:t>объем ф</w:t>
      </w:r>
      <w:r>
        <w:rPr>
          <w:rFonts w:ascii="Times New Roman" w:hAnsi="Times New Roman"/>
          <w:sz w:val="28"/>
          <w:szCs w:val="28"/>
        </w:rPr>
        <w:t>инансирования - 500 тыс. руб.). Тема НИР выполнена по заказу АО «Концерн «</w:t>
      </w:r>
      <w:proofErr w:type="spellStart"/>
      <w:r>
        <w:rPr>
          <w:rFonts w:ascii="Times New Roman" w:hAnsi="Times New Roman"/>
          <w:sz w:val="28"/>
          <w:szCs w:val="28"/>
        </w:rPr>
        <w:t>Энерготехнологии</w:t>
      </w:r>
      <w:proofErr w:type="spellEnd"/>
      <w:r>
        <w:rPr>
          <w:rFonts w:ascii="Times New Roman" w:hAnsi="Times New Roman"/>
          <w:sz w:val="28"/>
          <w:szCs w:val="28"/>
        </w:rPr>
        <w:t>» (г. Санкт-Петербург);</w:t>
      </w:r>
    </w:p>
    <w:p w:rsidR="005D2657" w:rsidRDefault="00E0057A">
      <w:pPr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«Научное обоснование и разработка рекомендаций по повышению показателей эфф</w:t>
      </w:r>
      <w:r>
        <w:rPr>
          <w:rFonts w:ascii="Times New Roman" w:hAnsi="Times New Roman"/>
          <w:sz w:val="28"/>
          <w:szCs w:val="28"/>
        </w:rPr>
        <w:t>ективности логистического управления товарными запасами предприят</w:t>
      </w:r>
      <w:r>
        <w:rPr>
          <w:rFonts w:ascii="Times New Roman" w:hAnsi="Times New Roman"/>
          <w:sz w:val="28"/>
          <w:szCs w:val="28"/>
        </w:rPr>
        <w:t xml:space="preserve">ия розничной торговли» (научный 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к.соц</w:t>
      </w:r>
      <w:proofErr w:type="spellEnd"/>
      <w:r>
        <w:rPr>
          <w:rFonts w:ascii="Times New Roman" w:hAnsi="Times New Roman"/>
          <w:sz w:val="28"/>
          <w:szCs w:val="28"/>
        </w:rPr>
        <w:t xml:space="preserve">. н., доцент </w:t>
      </w:r>
      <w:proofErr w:type="spellStart"/>
      <w:r>
        <w:rPr>
          <w:rFonts w:ascii="Times New Roman" w:hAnsi="Times New Roman"/>
          <w:sz w:val="28"/>
          <w:szCs w:val="28"/>
        </w:rPr>
        <w:t>Ясеницкий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И.А.; объем финансирования - 350 тыс. руб.). Тема НИР выполнена по заказу ООО «Саунд систем» (г. Тольятти);</w:t>
      </w:r>
    </w:p>
    <w:p w:rsidR="005D2657" w:rsidRDefault="00E0057A">
      <w:pPr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«Разработка мероприятий по совершенствованию системы управления медицин</w:t>
      </w:r>
      <w:r>
        <w:rPr>
          <w:rFonts w:ascii="Times New Roman" w:hAnsi="Times New Roman"/>
          <w:sz w:val="28"/>
          <w:szCs w:val="28"/>
        </w:rPr>
        <w:t xml:space="preserve">ским предприятием с использованием методов информационных технологий» (научный 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к.соц</w:t>
      </w:r>
      <w:proofErr w:type="spellEnd"/>
      <w:r>
        <w:rPr>
          <w:rFonts w:ascii="Times New Roman" w:hAnsi="Times New Roman"/>
          <w:sz w:val="28"/>
          <w:szCs w:val="28"/>
        </w:rPr>
        <w:t xml:space="preserve">. н., доцент </w:t>
      </w:r>
      <w:proofErr w:type="spellStart"/>
      <w:r>
        <w:rPr>
          <w:rFonts w:ascii="Times New Roman" w:hAnsi="Times New Roman"/>
          <w:sz w:val="28"/>
          <w:szCs w:val="28"/>
        </w:rPr>
        <w:t>Ясеницкий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И.А.; объем финансирования - 350 тыс. руб.). Тема НИР выполнена по заказу ООО «Ипотечный дом» (г. Сызрань);</w:t>
      </w:r>
    </w:p>
    <w:p w:rsidR="005D2657" w:rsidRDefault="00E0057A">
      <w:pPr>
        <w:spacing w:after="0" w:line="240" w:lineRule="auto"/>
        <w:ind w:firstLine="700"/>
        <w:jc w:val="both"/>
      </w:pPr>
      <w:r>
        <w:rPr>
          <w:rFonts w:ascii="Times New Roman" w:hAnsi="Times New Roman"/>
          <w:sz w:val="28"/>
          <w:szCs w:val="28"/>
        </w:rPr>
        <w:t>- «Научное обоснование под</w:t>
      </w:r>
      <w:r>
        <w:rPr>
          <w:rFonts w:ascii="Times New Roman" w:hAnsi="Times New Roman"/>
          <w:sz w:val="28"/>
          <w:szCs w:val="28"/>
        </w:rPr>
        <w:t>ходов к управлению сельским хозяйством на основе цифровых технологий» (научный руководитель – д.э.н., доцент Ильина Л.А.; объем финанс</w:t>
      </w:r>
      <w:r>
        <w:rPr>
          <w:rFonts w:ascii="Times New Roman" w:hAnsi="Times New Roman"/>
          <w:sz w:val="28"/>
          <w:szCs w:val="28"/>
        </w:rPr>
        <w:t>ирования - 200 тыс. руб.). Тема НИР выполнена по заказу ООО «Агро-Мастер» (г. Омск).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следует отметить уникальный опы</w:t>
      </w:r>
      <w:r>
        <w:rPr>
          <w:rFonts w:ascii="Times New Roman" w:hAnsi="Times New Roman"/>
          <w:sz w:val="28"/>
          <w:szCs w:val="28"/>
        </w:rPr>
        <w:t>т СГЭУ по разработке и актуализации стратегий социально-экономического развития муниципальных районов и городских округов Самарской области. В 2023 году научным коллективом СГЭУ успешно разработаны и актуализированы 6 стратегий социально-экономического раз</w:t>
      </w:r>
      <w:r>
        <w:rPr>
          <w:rFonts w:ascii="Times New Roman" w:hAnsi="Times New Roman"/>
          <w:sz w:val="28"/>
          <w:szCs w:val="28"/>
        </w:rPr>
        <w:t xml:space="preserve">вития муниципальных образований и городских округов, среди них стратегии социально-экономического развития муниципальных районов </w:t>
      </w:r>
      <w:proofErr w:type="spellStart"/>
      <w:r>
        <w:rPr>
          <w:rFonts w:ascii="Times New Roman" w:hAnsi="Times New Roman"/>
          <w:sz w:val="28"/>
          <w:szCs w:val="28"/>
        </w:rPr>
        <w:t>Безенчукский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Елховский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Ставропольский Самарской области, городского округа Октябрьск.</w:t>
      </w:r>
      <w:r>
        <w:rPr>
          <w:rFonts w:ascii="Times New Roman" w:hAnsi="Times New Roman"/>
          <w:sz w:val="28"/>
          <w:szCs w:val="28"/>
        </w:rPr>
        <w:t xml:space="preserve"> Научные руководители данны</w:t>
      </w:r>
      <w:r>
        <w:rPr>
          <w:rFonts w:ascii="Times New Roman" w:hAnsi="Times New Roman"/>
          <w:sz w:val="28"/>
          <w:szCs w:val="28"/>
        </w:rPr>
        <w:t xml:space="preserve">х тем – доцент </w:t>
      </w:r>
      <w:proofErr w:type="spellStart"/>
      <w:r>
        <w:rPr>
          <w:rFonts w:ascii="Times New Roman" w:hAnsi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Л.К., к.э.н., </w:t>
      </w:r>
      <w:proofErr w:type="spellStart"/>
      <w:r>
        <w:rPr>
          <w:rFonts w:ascii="Times New Roman" w:hAnsi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к.э.н., доцент </w:t>
      </w:r>
      <w:proofErr w:type="spellStart"/>
      <w:r>
        <w:rPr>
          <w:rFonts w:ascii="Times New Roman" w:hAnsi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  <w:proofErr w:type="gramStart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к.э.н.</w:t>
      </w:r>
      <w:proofErr w:type="gramEnd"/>
      <w:r>
        <w:rPr>
          <w:rFonts w:ascii="Times New Roman" w:hAnsi="Times New Roman"/>
          <w:sz w:val="28"/>
          <w:szCs w:val="28"/>
        </w:rPr>
        <w:t xml:space="preserve">, доцент Репина Е.Г. 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средств, поступивших от реализации научно-исследовательских работ по данной тематике составил 1 550,0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(19,1% от общего о</w:t>
      </w:r>
      <w:r>
        <w:rPr>
          <w:rFonts w:ascii="Times New Roman" w:hAnsi="Times New Roman"/>
          <w:sz w:val="28"/>
          <w:szCs w:val="28"/>
        </w:rPr>
        <w:t>бъема НИР, реализованных по договорам гражданско-правового характера).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продолжится работа по актуализации стратегии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Берёзовского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ХМАО. 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году, впервые за последние 5 лет, </w:t>
      </w:r>
      <w:proofErr w:type="gramStart"/>
      <w:r>
        <w:rPr>
          <w:rFonts w:ascii="Times New Roman" w:hAnsi="Times New Roman"/>
          <w:sz w:val="28"/>
          <w:szCs w:val="28"/>
        </w:rPr>
        <w:t>СГЭУ  получил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субсидию Министерства науки и высшего образования РФ на выполнение фундаментального научного исследования по теме: «Разработка инструментов сопряжения перспективных видов экономической деятельности рос</w:t>
      </w:r>
      <w:r>
        <w:rPr>
          <w:rFonts w:ascii="Times New Roman" w:hAnsi="Times New Roman"/>
          <w:sz w:val="28"/>
          <w:szCs w:val="28"/>
        </w:rPr>
        <w:t xml:space="preserve">сийских регионов для обеспечения устойчивого развития экспорта и импорта со странами Азии, Африки, Латинской Америки» на 2023 год и плановый период 2024-2025 годов в размере 6 млн рублей ежегодно. 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первый научно-исследовательский проект, направленный </w:t>
      </w:r>
      <w:r>
        <w:rPr>
          <w:rFonts w:ascii="Times New Roman" w:hAnsi="Times New Roman"/>
          <w:sz w:val="28"/>
          <w:szCs w:val="28"/>
        </w:rPr>
        <w:t>на расширение внешнеэкономического взаимодействия с перспективными партнерами из дружественных государств и развитие необходимой для такого сотрудничества аналитической инфраструктуры. Проект поддержали и выразили заинтересованность в его реализации: Комит</w:t>
      </w:r>
      <w:r>
        <w:rPr>
          <w:rFonts w:ascii="Times New Roman" w:hAnsi="Times New Roman"/>
          <w:sz w:val="28"/>
          <w:szCs w:val="28"/>
        </w:rPr>
        <w:t xml:space="preserve">ет Совета Федерации по международным делам, Клуб экспортеров Самарской области, АО «Ракетно-космический центр «Прогресс», Российский университет дружбы </w:t>
      </w:r>
      <w:r>
        <w:rPr>
          <w:rFonts w:ascii="Times New Roman" w:hAnsi="Times New Roman"/>
          <w:sz w:val="28"/>
          <w:szCs w:val="28"/>
        </w:rPr>
        <w:lastRenderedPageBreak/>
        <w:t xml:space="preserve">народов имени </w:t>
      </w:r>
      <w:proofErr w:type="spellStart"/>
      <w:r>
        <w:rPr>
          <w:rFonts w:ascii="Times New Roman" w:hAnsi="Times New Roman"/>
          <w:sz w:val="28"/>
          <w:szCs w:val="28"/>
        </w:rPr>
        <w:t>Патриса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Лумумбы,  Самарское</w:t>
      </w:r>
      <w:proofErr w:type="gramEnd"/>
      <w:r>
        <w:rPr>
          <w:rFonts w:ascii="Times New Roman" w:hAnsi="Times New Roman"/>
          <w:sz w:val="28"/>
          <w:szCs w:val="28"/>
        </w:rPr>
        <w:t xml:space="preserve"> региональное отделение Общероссийской общественной организации</w:t>
      </w:r>
      <w:r>
        <w:rPr>
          <w:rFonts w:ascii="Times New Roman" w:hAnsi="Times New Roman"/>
          <w:sz w:val="28"/>
          <w:szCs w:val="28"/>
        </w:rPr>
        <w:t xml:space="preserve"> «Деловая Россия». Научно-исследовательский проект получил высокую оценку экспертов РАН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проекта научным коллективом СГЭУ будет проведена научно-практическая экспертиза внешнеэкономической деятельности Самарской области и разработана</w:t>
      </w:r>
      <w:r>
        <w:rPr>
          <w:rFonts w:ascii="Times New Roman" w:hAnsi="Times New Roman"/>
          <w:sz w:val="28"/>
          <w:szCs w:val="28"/>
        </w:rPr>
        <w:t xml:space="preserve"> информационно-аналитическая система (ИАС) поддержки экспорта при выходе отечественных производителей на зарубежные рынки и обеспечения их присутствия на внешних рынках дружественных стран, а также электронные «Навигаторы экспортеров и импортеров» по отдел</w:t>
      </w:r>
      <w:r>
        <w:rPr>
          <w:rFonts w:ascii="Times New Roman" w:hAnsi="Times New Roman"/>
          <w:sz w:val="28"/>
          <w:szCs w:val="28"/>
        </w:rPr>
        <w:t>ьным странам Азии, Африки и Латинской Америки.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структура реализованных НИР по источникам финансирования существенно изменилась по сравнению с 2022 годом (табл. 2). </w:t>
      </w:r>
    </w:p>
    <w:p w:rsidR="005D2657" w:rsidRDefault="00E0057A">
      <w:pPr>
        <w:spacing w:before="240"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Таблица 2 - Структура выполненных НИР по источникам финансирования, 2022-2023 г</w:t>
      </w:r>
      <w:r>
        <w:rPr>
          <w:rFonts w:ascii="Times New Roman" w:hAnsi="Times New Roman"/>
          <w:sz w:val="28"/>
          <w:szCs w:val="28"/>
        </w:rPr>
        <w:t>г.</w:t>
      </w:r>
    </w:p>
    <w:tbl>
      <w:tblPr>
        <w:tblW w:w="9346" w:type="dxa"/>
        <w:tblInd w:w="3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6"/>
        <w:gridCol w:w="1841"/>
        <w:gridCol w:w="1419"/>
        <w:gridCol w:w="1842"/>
        <w:gridCol w:w="1418"/>
      </w:tblGrid>
      <w:tr w:rsidR="005D2657">
        <w:trPr>
          <w:trHeight w:val="463"/>
        </w:trPr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 г.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</w:tc>
      </w:tr>
      <w:tr w:rsidR="005D2657">
        <w:trPr>
          <w:trHeight w:val="302"/>
        </w:trPr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bottom w:w="100" w:type="dxa"/>
            </w:tcMar>
          </w:tcPr>
          <w:p w:rsidR="005D2657" w:rsidRDefault="005D26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Сумма, тыс. руб.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Доля, %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Сумма, тыс. руб.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Доля, %</w:t>
            </w:r>
          </w:p>
        </w:tc>
      </w:tr>
      <w:tr w:rsidR="005D2657">
        <w:trPr>
          <w:trHeight w:val="1207"/>
        </w:trPr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источников финансирования, тыс. руб.: из них:</w:t>
            </w:r>
          </w:p>
        </w:tc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15 238,00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15 353,4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5D2657">
        <w:trPr>
          <w:trHeight w:val="1454"/>
        </w:trPr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фондов поддержки научной, научно-технической и инновационной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5 372,00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35,25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1 245,00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8,11</w:t>
            </w:r>
          </w:p>
        </w:tc>
      </w:tr>
      <w:tr w:rsidR="005D2657">
        <w:trPr>
          <w:trHeight w:val="1320"/>
        </w:trPr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бюджетов субъектов федерации и органов местного самоуправления</w:t>
            </w:r>
          </w:p>
        </w:tc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230,00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1 660,0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10,81</w:t>
            </w:r>
          </w:p>
        </w:tc>
      </w:tr>
      <w:tr w:rsidR="005D2657">
        <w:trPr>
          <w:trHeight w:val="1020"/>
        </w:trPr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российских хозяйствующих субъектов</w:t>
            </w:r>
          </w:p>
        </w:tc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9 636,00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63,24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6 449,00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42,00</w:t>
            </w:r>
          </w:p>
        </w:tc>
      </w:tr>
      <w:tr w:rsidR="005D2657">
        <w:trPr>
          <w:trHeight w:val="780"/>
        </w:trPr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</w:rPr>
              <w:t>999,4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39,08</w:t>
            </w:r>
          </w:p>
        </w:tc>
      </w:tr>
    </w:tbl>
    <w:p w:rsidR="005D2657" w:rsidRDefault="005D2657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39% в структуре НИР по источникам финансирования приходится на средства субсидии федерального бюджета выполнение научно-исследовательских работ. Доля финансирования НИР из средств российских хозяйствующих субъектов сократилась на 21,24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по сравнению с 2022 </w:t>
      </w:r>
      <w:r>
        <w:rPr>
          <w:rFonts w:ascii="Times New Roman" w:hAnsi="Times New Roman"/>
          <w:sz w:val="28"/>
          <w:szCs w:val="28"/>
        </w:rPr>
        <w:lastRenderedPageBreak/>
        <w:t xml:space="preserve">годом и составила 42% (6 449,0 тыс. руб.), против 63,2% (9 636,0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) в 2022 году. Существенно возросла доля НИР, финансируемых за счет средств бюджетов субъектов федерации и органов местного с 1,5% (230 тыс. руб.) до 10,8% (1</w:t>
      </w:r>
      <w:r>
        <w:rPr>
          <w:rFonts w:ascii="Times New Roman" w:hAnsi="Times New Roman"/>
          <w:sz w:val="28"/>
          <w:szCs w:val="28"/>
        </w:rPr>
        <w:t xml:space="preserve"> 660,0 тыс. руб.). Существенно сократилась доля НИР, финансируемых из средств фондов поддержки научной, научно-технической и инновационной деятельности - с 35,2% (5 372,0 тыс. руб.) до 8,1% (1 245,0 тыс. руб.). Отчасти это вызвано завершением срока реализа</w:t>
      </w:r>
      <w:r>
        <w:rPr>
          <w:rFonts w:ascii="Times New Roman" w:hAnsi="Times New Roman"/>
          <w:sz w:val="28"/>
          <w:szCs w:val="28"/>
        </w:rPr>
        <w:t xml:space="preserve">ции ранее поддержанных грантов и недостаточным уровнем </w:t>
      </w:r>
      <w:proofErr w:type="spellStart"/>
      <w:r>
        <w:rPr>
          <w:rFonts w:ascii="Times New Roman" w:hAnsi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активности ППС и научных коллективов. Абсолютный прирост объема НИР, финансируемого за счет </w:t>
      </w:r>
      <w:proofErr w:type="gramStart"/>
      <w:r>
        <w:rPr>
          <w:rFonts w:ascii="Times New Roman" w:hAnsi="Times New Roman"/>
          <w:sz w:val="28"/>
          <w:szCs w:val="28"/>
        </w:rPr>
        <w:t>средств 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бюджета, в 2023 году составил 5 999,4 тыс. руб. (39,08% от  общего объема фин</w:t>
      </w:r>
      <w:r>
        <w:rPr>
          <w:rFonts w:ascii="Times New Roman" w:hAnsi="Times New Roman"/>
          <w:sz w:val="28"/>
          <w:szCs w:val="28"/>
        </w:rPr>
        <w:t>ансирования).</w:t>
      </w:r>
    </w:p>
    <w:p w:rsidR="005D2657" w:rsidRDefault="00E0057A" w:rsidP="0006254A">
      <w:pPr>
        <w:pStyle w:val="1"/>
        <w:numPr>
          <w:ilvl w:val="0"/>
          <w:numId w:val="0"/>
        </w:numPr>
        <w:ind w:left="720"/>
        <w:jc w:val="left"/>
      </w:pPr>
      <w:bookmarkStart w:id="2" w:name="_Toc126320797"/>
      <w:r>
        <w:t>Динамика научно-исследовательской деятельности по грантам</w:t>
      </w:r>
      <w:bookmarkEnd w:id="2"/>
    </w:p>
    <w:p w:rsidR="005D2657" w:rsidRDefault="005D2657">
      <w:pPr>
        <w:pStyle w:val="af7"/>
        <w:spacing w:after="0" w:line="240" w:lineRule="auto"/>
        <w:ind w:left="927"/>
        <w:rPr>
          <w:sz w:val="28"/>
          <w:szCs w:val="28"/>
        </w:rPr>
      </w:pP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СГЭУ принимал активные действия по участию в конкурсах и грантах различного уровня, однако по сравнению с 2022 годом количество поданных заявок уменьшилось: на конкурсы фе</w:t>
      </w:r>
      <w:r>
        <w:rPr>
          <w:rFonts w:ascii="Times New Roman" w:hAnsi="Times New Roman"/>
          <w:sz w:val="28"/>
          <w:szCs w:val="28"/>
        </w:rPr>
        <w:t xml:space="preserve">дерального и регионального уровней в 2023 году было подано 26 заявок, тогда как в 2022 году – 30 заявок. 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высокая активность в подаче заявок на конкурсы грантов наблюдается в Институте национальной и мировой экономики (10 заявок). Институт экономи</w:t>
      </w:r>
      <w:r>
        <w:rPr>
          <w:rFonts w:ascii="Times New Roman" w:hAnsi="Times New Roman"/>
          <w:sz w:val="28"/>
          <w:szCs w:val="28"/>
        </w:rPr>
        <w:t xml:space="preserve">ки предприятий и институт менеджмента имеют среднюю активность в подаче заявок (5 и 4 соответственно). Институт права и </w:t>
      </w:r>
      <w:proofErr w:type="spellStart"/>
      <w:r>
        <w:rPr>
          <w:rFonts w:ascii="Times New Roman" w:hAnsi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имеют по 1 поданной заявке. Институт права отличает высокая результативность </w:t>
      </w:r>
      <w:proofErr w:type="spellStart"/>
      <w:r>
        <w:rPr>
          <w:rFonts w:ascii="Times New Roman" w:hAnsi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активности.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кафедр лидера</w:t>
      </w:r>
      <w:r>
        <w:rPr>
          <w:rFonts w:ascii="Times New Roman" w:hAnsi="Times New Roman"/>
          <w:sz w:val="28"/>
          <w:szCs w:val="28"/>
        </w:rPr>
        <w:t>ми по числу поданных заявок на конкурсы грантов являются: кафедра маркетинга, логистики и рекламы (4 заявки), кафедра экономической теории (4 заявки), кафедра региональной экономики и управления (3 заявки), кафедра экономики, организации и стратегии развит</w:t>
      </w:r>
      <w:r>
        <w:rPr>
          <w:rFonts w:ascii="Times New Roman" w:hAnsi="Times New Roman"/>
          <w:sz w:val="28"/>
          <w:szCs w:val="28"/>
        </w:rPr>
        <w:t>ия предприятия (3 заявки).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были поданы 3 заявки на Конкурс на получение грантов РНФ по приоритетному направлению деятельности РНФ «Проведение фундаментальных научных исследований и поисковых научных исследований малыми отдельными научными групп</w:t>
      </w:r>
      <w:r>
        <w:rPr>
          <w:rFonts w:ascii="Times New Roman" w:hAnsi="Times New Roman"/>
          <w:sz w:val="28"/>
          <w:szCs w:val="28"/>
        </w:rPr>
        <w:t>ами»: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 «Социально-экономическое пространство сквозь призму </w:t>
      </w:r>
      <w:proofErr w:type="spellStart"/>
      <w:r>
        <w:rPr>
          <w:rFonts w:ascii="Times New Roman" w:hAnsi="Times New Roman"/>
          <w:sz w:val="28"/>
          <w:szCs w:val="28"/>
        </w:rPr>
        <w:t>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skills</w:t>
      </w:r>
      <w:proofErr w:type="spellEnd"/>
      <w:r>
        <w:rPr>
          <w:rFonts w:ascii="Times New Roman" w:hAnsi="Times New Roman"/>
          <w:sz w:val="28"/>
          <w:szCs w:val="28"/>
        </w:rPr>
        <w:t>: теоретическое обоснование и эмпирический анализ» (руководитель – Королева Е.Н.);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«Алгоритмы распознания и нейтрализации сложных юридических коллизий и коллизионных про</w:t>
      </w:r>
      <w:r>
        <w:rPr>
          <w:rFonts w:ascii="Times New Roman" w:hAnsi="Times New Roman"/>
          <w:sz w:val="28"/>
          <w:szCs w:val="28"/>
        </w:rPr>
        <w:t>белов: потенциал российской юридической доктрины в свете вызовов зарубежных концепций права и юридического рассуждения» (руководитель – Касаткин С.Н.);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«Модели научной политики в СССР и в России в рамках системы «наука-научная среда-власть» (сравн</w:t>
      </w:r>
      <w:r>
        <w:rPr>
          <w:rFonts w:ascii="Times New Roman" w:hAnsi="Times New Roman"/>
          <w:sz w:val="28"/>
          <w:szCs w:val="28"/>
        </w:rPr>
        <w:t xml:space="preserve">ительно-историческое исследование)» (руководитель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Занин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С.В.).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Выигранные гранты 2023 года: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«Развитие приграничных регионов России и Венгрии в условиях глобальных вызовов» (руководитель – д.э.н., профессор Хмелева Г.А.), объем финансирования 1 245,0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«Алгоритмы распознания и нейтрализации сложных юридических коллизий и коллизионных пробелов: потенциал российской юридической доктрины в свете вызовов зарубежных концепций права и юридического рассуждения» (руководитель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Касатк</w:t>
      </w:r>
      <w:r>
        <w:rPr>
          <w:rFonts w:ascii="Times New Roman" w:hAnsi="Times New Roman"/>
          <w:sz w:val="28"/>
          <w:szCs w:val="28"/>
        </w:rPr>
        <w:t xml:space="preserve">ин С.Н.), объем </w:t>
      </w:r>
      <w:proofErr w:type="gramStart"/>
      <w:r>
        <w:rPr>
          <w:rFonts w:ascii="Times New Roman" w:hAnsi="Times New Roman"/>
          <w:sz w:val="28"/>
          <w:szCs w:val="28"/>
        </w:rPr>
        <w:t>финансирования  1</w:t>
      </w:r>
      <w:proofErr w:type="gramEnd"/>
      <w:r>
        <w:rPr>
          <w:rFonts w:ascii="Times New Roman" w:hAnsi="Times New Roman"/>
          <w:sz w:val="28"/>
          <w:szCs w:val="28"/>
        </w:rPr>
        <w:t xml:space="preserve"> 500,0 тыс. руб.;</w:t>
      </w:r>
    </w:p>
    <w:p w:rsidR="005D2657" w:rsidRDefault="005D2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Победителями конкурса «Золотые имена Высшей школы» в 2023 году стали следующие представители профессорско-преподавательского состава</w:t>
      </w:r>
    </w:p>
    <w:p w:rsidR="005D2657" w:rsidRDefault="00E0057A">
      <w:pPr>
        <w:spacing w:after="0" w:line="240" w:lineRule="auto"/>
        <w:ind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Университета: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Кириллова Лариса Константиновна, к.э.н., доцент кафед</w:t>
      </w:r>
      <w:r>
        <w:rPr>
          <w:rFonts w:ascii="Times New Roman" w:hAnsi="Times New Roman"/>
          <w:sz w:val="28"/>
          <w:szCs w:val="28"/>
        </w:rPr>
        <w:t xml:space="preserve">ры маркетинга, 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логистики и рекламы — в номинации «За подготовку научных и педагогических 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кадров»;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Хмелева Галина Анатольевна, д.э.н., профессор кафедры региональной 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управления — в номинации «За преданность профессии и 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традици</w:t>
      </w:r>
      <w:r>
        <w:rPr>
          <w:rFonts w:ascii="Times New Roman" w:hAnsi="Times New Roman"/>
          <w:sz w:val="28"/>
          <w:szCs w:val="28"/>
        </w:rPr>
        <w:t>й российской высшей школы»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Ралык</w:t>
      </w:r>
      <w:proofErr w:type="spellEnd"/>
      <w:r>
        <w:rPr>
          <w:rFonts w:ascii="Times New Roman" w:hAnsi="Times New Roman"/>
          <w:sz w:val="28"/>
          <w:szCs w:val="28"/>
        </w:rPr>
        <w:t xml:space="preserve"> Динара Владимировна, к.э.н., доцент кафедры маркетинга, логистики и рекламы — в номинации «За внедрение инновационных методик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преподавания, развитие открытой информационной среды высшее»;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Булавко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Александровна,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д.э.н</w:t>
      </w:r>
      <w:proofErr w:type="spellEnd"/>
      <w:r>
        <w:rPr>
          <w:rFonts w:ascii="Times New Roman" w:hAnsi="Times New Roman"/>
          <w:sz w:val="28"/>
          <w:szCs w:val="28"/>
        </w:rPr>
        <w:t>,,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профессор кафедры экономики, 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стратегии развития предприятия — в номинации «За развитие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практико-ориентированного высшего образования»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Кузьмина Ольга Юрьевна,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к.э.н</w:t>
      </w:r>
      <w:proofErr w:type="spellEnd"/>
      <w:r>
        <w:rPr>
          <w:rFonts w:ascii="Times New Roman" w:hAnsi="Times New Roman"/>
          <w:sz w:val="28"/>
          <w:szCs w:val="28"/>
        </w:rPr>
        <w:t>,,</w:t>
      </w:r>
      <w:proofErr w:type="gramEnd"/>
      <w:r>
        <w:rPr>
          <w:rFonts w:ascii="Times New Roman" w:hAnsi="Times New Roman"/>
          <w:sz w:val="28"/>
          <w:szCs w:val="28"/>
        </w:rPr>
        <w:t xml:space="preserve"> доцент кафедры экономической теории — в номинации «За развитие</w:t>
      </w:r>
      <w:r>
        <w:rPr>
          <w:rFonts w:ascii="Times New Roman" w:hAnsi="Times New Roman"/>
          <w:sz w:val="28"/>
          <w:szCs w:val="28"/>
        </w:rPr>
        <w:t xml:space="preserve"> студенческого научного, конкурсного и олимпиадного движения».</w:t>
      </w:r>
    </w:p>
    <w:p w:rsidR="005D2657" w:rsidRDefault="005D2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сотрудники Университета достигли больших успехов в научной деятельности: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Почетное звание «Заслуженный работник ВПО Самарской области» было присвоено </w:t>
      </w:r>
      <w:proofErr w:type="spellStart"/>
      <w:r>
        <w:rPr>
          <w:rFonts w:ascii="Times New Roman" w:hAnsi="Times New Roman"/>
          <w:sz w:val="28"/>
          <w:szCs w:val="28"/>
        </w:rPr>
        <w:t>Абдрахимову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Владимиру </w:t>
      </w:r>
      <w:proofErr w:type="spellStart"/>
      <w:r>
        <w:rPr>
          <w:rFonts w:ascii="Times New Roman" w:hAnsi="Times New Roman"/>
          <w:sz w:val="28"/>
          <w:szCs w:val="28"/>
        </w:rPr>
        <w:t>Закиров</w:t>
      </w:r>
      <w:r>
        <w:rPr>
          <w:rFonts w:ascii="Times New Roman" w:hAnsi="Times New Roman"/>
          <w:sz w:val="28"/>
          <w:szCs w:val="28"/>
        </w:rPr>
        <w:t>ичу</w:t>
      </w:r>
      <w:proofErr w:type="spellEnd"/>
      <w:r>
        <w:rPr>
          <w:rFonts w:ascii="Times New Roman" w:hAnsi="Times New Roman"/>
          <w:sz w:val="28"/>
          <w:szCs w:val="28"/>
        </w:rPr>
        <w:t>, д.т.н., профессору, профессору кафедры землеустройства и экологии.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Никитиной Наталье Владиславовне, к.э.н., доценту, доценту кафедры экономики, организации и стратегии развития предприятия присвоено почетное звание «Почетный работник сферы образован</w:t>
      </w:r>
      <w:r>
        <w:rPr>
          <w:rFonts w:ascii="Times New Roman" w:hAnsi="Times New Roman"/>
          <w:sz w:val="28"/>
          <w:szCs w:val="28"/>
        </w:rPr>
        <w:t>ия РФ».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Ширнина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Викторовна, </w:t>
      </w:r>
      <w:proofErr w:type="spellStart"/>
      <w:r>
        <w:rPr>
          <w:rFonts w:ascii="Times New Roman" w:hAnsi="Times New Roman"/>
          <w:sz w:val="28"/>
          <w:szCs w:val="28"/>
        </w:rPr>
        <w:t>к.с.н</w:t>
      </w:r>
      <w:proofErr w:type="spellEnd"/>
      <w:r>
        <w:rPr>
          <w:rFonts w:ascii="Times New Roman" w:hAnsi="Times New Roman"/>
          <w:sz w:val="28"/>
          <w:szCs w:val="28"/>
        </w:rPr>
        <w:t>., проректор по взаимодействию с государственными и корпоративными структурами награждена Почетной грамотой Министерства науки и высшего образования РФ.</w:t>
      </w:r>
    </w:p>
    <w:p w:rsidR="005D2657" w:rsidRDefault="005D26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2657" w:rsidRDefault="005D265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в структуре университета появились новые научные</w:t>
      </w:r>
      <w:r>
        <w:rPr>
          <w:rFonts w:ascii="Times New Roman" w:hAnsi="Times New Roman"/>
          <w:sz w:val="28"/>
          <w:szCs w:val="28"/>
        </w:rPr>
        <w:t xml:space="preserve"> подразделения: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Центр патентной аналитики и охраны интеллектуальных прав ФГАОУ ВО «СГЭУ» (директор центра – Фролова Е.А.), основной целью деятельности которого является правовое сопровождение научно-исследовательской деятельности и повышение эффективност</w:t>
      </w:r>
      <w:r>
        <w:rPr>
          <w:rFonts w:ascii="Times New Roman" w:hAnsi="Times New Roman"/>
          <w:sz w:val="28"/>
          <w:szCs w:val="28"/>
        </w:rPr>
        <w:t>и системы управления интеллектуальной собственностью Университета.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Научно-образовательный центр развития и поддержки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киберспорта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ФГАОУ ВО «СГЭУ» (директор центра - Ахмадуллин Ф.Р., к.т.н., доцент кафедры прикладной информатики). Деятельность центра </w:t>
      </w:r>
      <w:r>
        <w:rPr>
          <w:rFonts w:ascii="Times New Roman" w:hAnsi="Times New Roman"/>
          <w:sz w:val="28"/>
          <w:szCs w:val="28"/>
          <w:lang w:eastAsia="en-US"/>
        </w:rPr>
        <w:t xml:space="preserve">направлена на развитие научно-образовательного потенциала Университета путем обеспечения выполнения научных исследований и разработок в области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киберспорта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и интеллектуальных систем, осуществления образовательной деятельности и организации проведения общес</w:t>
      </w:r>
      <w:r>
        <w:rPr>
          <w:rFonts w:ascii="Times New Roman" w:hAnsi="Times New Roman"/>
          <w:sz w:val="28"/>
          <w:szCs w:val="28"/>
          <w:lang w:eastAsia="en-US"/>
        </w:rPr>
        <w:t>твенно-значимых мероприятий в сфере информационно-коммуникативных технологий.</w:t>
      </w:r>
    </w:p>
    <w:p w:rsidR="005D2657" w:rsidRDefault="005D2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57" w:rsidRDefault="0006254A" w:rsidP="0006254A">
      <w:pPr>
        <w:pStyle w:val="1"/>
        <w:numPr>
          <w:ilvl w:val="0"/>
          <w:numId w:val="0"/>
        </w:numPr>
        <w:spacing w:before="0" w:line="240" w:lineRule="auto"/>
        <w:ind w:left="720"/>
        <w:jc w:val="left"/>
      </w:pPr>
      <w:bookmarkStart w:id="3" w:name="_Toc126320798"/>
      <w:r>
        <w:t>П</w:t>
      </w:r>
      <w:r w:rsidR="00E0057A">
        <w:t>убликационная активность научно-педагогических сотрудников университета</w:t>
      </w:r>
      <w:bookmarkEnd w:id="3"/>
    </w:p>
    <w:p w:rsidR="005D2657" w:rsidRDefault="00E0057A">
      <w:pPr>
        <w:spacing w:before="240" w:after="0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ограничением возможности размещения публикаций в изданиях, индексируемых в базах международног</w:t>
      </w:r>
      <w:r>
        <w:rPr>
          <w:rFonts w:ascii="Times New Roman" w:hAnsi="Times New Roman"/>
          <w:sz w:val="28"/>
          <w:szCs w:val="28"/>
        </w:rPr>
        <w:t>о цитирования (</w:t>
      </w:r>
      <w:proofErr w:type="spellStart"/>
      <w:r>
        <w:rPr>
          <w:rFonts w:ascii="Times New Roman" w:hAnsi="Times New Roman"/>
          <w:sz w:val="28"/>
          <w:szCs w:val="28"/>
        </w:rPr>
        <w:t>WoS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Scopus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 и их мониторинга, 2023 год отмечен снижением числа публикаций сотрудников университета, входящих в международные базы данных. При этом возросла публикационная активность в журналах перечня ВАК и РИНЦ (табл. 3,4).</w:t>
      </w:r>
    </w:p>
    <w:p w:rsidR="005D2657" w:rsidRDefault="005D2657">
      <w:pPr>
        <w:spacing w:before="240" w:after="0"/>
        <w:ind w:firstLine="700"/>
        <w:jc w:val="both"/>
        <w:rPr>
          <w:sz w:val="28"/>
          <w:szCs w:val="28"/>
        </w:rPr>
      </w:pP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3 - Количество публикаций в базе данных российского индекса цитирования</w:t>
      </w:r>
    </w:p>
    <w:tbl>
      <w:tblPr>
        <w:tblW w:w="9555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7"/>
        <w:gridCol w:w="2368"/>
        <w:gridCol w:w="2372"/>
        <w:gridCol w:w="2368"/>
      </w:tblGrid>
      <w:tr w:rsidR="005D2657">
        <w:trPr>
          <w:trHeight w:val="314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Категория 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2023*</w:t>
            </w:r>
          </w:p>
        </w:tc>
      </w:tr>
      <w:tr w:rsidR="005D2657">
        <w:trPr>
          <w:trHeight w:val="314"/>
        </w:trPr>
        <w:tc>
          <w:tcPr>
            <w:tcW w:w="2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РИНЦ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2795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2729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3227</w:t>
            </w:r>
          </w:p>
        </w:tc>
      </w:tr>
      <w:tr w:rsidR="005D2657">
        <w:trPr>
          <w:trHeight w:val="314"/>
        </w:trPr>
        <w:tc>
          <w:tcPr>
            <w:tcW w:w="2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930</w:t>
            </w:r>
          </w:p>
        </w:tc>
      </w:tr>
      <w:tr w:rsidR="005D2657">
        <w:trPr>
          <w:trHeight w:val="314"/>
        </w:trPr>
        <w:tc>
          <w:tcPr>
            <w:tcW w:w="2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Ядро РИНЦ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5D2657" w:rsidRDefault="005D26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2657" w:rsidRDefault="005D2657">
      <w:pPr>
        <w:spacing w:after="0" w:line="240" w:lineRule="auto"/>
        <w:jc w:val="center"/>
        <w:rPr>
          <w:sz w:val="24"/>
          <w:szCs w:val="24"/>
        </w:rPr>
      </w:pP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4 - Количество цитирований в базе данных российского индекса цитирования</w:t>
      </w:r>
    </w:p>
    <w:tbl>
      <w:tblPr>
        <w:tblW w:w="9631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02"/>
        <w:gridCol w:w="2410"/>
        <w:gridCol w:w="2416"/>
        <w:gridCol w:w="2403"/>
      </w:tblGrid>
      <w:tr w:rsidR="005D2657">
        <w:trPr>
          <w:trHeight w:val="285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2023*</w:t>
            </w:r>
          </w:p>
        </w:tc>
      </w:tr>
      <w:tr w:rsidR="005D2657">
        <w:trPr>
          <w:trHeight w:val="285"/>
        </w:trPr>
        <w:tc>
          <w:tcPr>
            <w:tcW w:w="2401" w:type="dxa"/>
            <w:tcBorders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РИНЦ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7226</w:t>
            </w:r>
          </w:p>
        </w:tc>
        <w:tc>
          <w:tcPr>
            <w:tcW w:w="2416" w:type="dxa"/>
            <w:tcBorders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6940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</w:t>
            </w:r>
          </w:p>
        </w:tc>
      </w:tr>
      <w:tr w:rsidR="005D2657">
        <w:trPr>
          <w:trHeight w:val="285"/>
        </w:trPr>
        <w:tc>
          <w:tcPr>
            <w:tcW w:w="2401" w:type="dxa"/>
            <w:tcBorders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1136</w:t>
            </w:r>
          </w:p>
        </w:tc>
        <w:tc>
          <w:tcPr>
            <w:tcW w:w="2416" w:type="dxa"/>
            <w:tcBorders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</w:tr>
      <w:tr w:rsidR="005D2657">
        <w:trPr>
          <w:trHeight w:val="285"/>
        </w:trPr>
        <w:tc>
          <w:tcPr>
            <w:tcW w:w="2401" w:type="dxa"/>
            <w:tcBorders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Ядро РИНЦ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2416" w:type="dxa"/>
            <w:tcBorders>
              <w:left w:val="single" w:sz="6" w:space="0" w:color="000000"/>
              <w:bottom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5D2657" w:rsidRDefault="00E0057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18"/>
          <w:szCs w:val="18"/>
        </w:rPr>
        <w:t xml:space="preserve">предварительные данные, полная индексация на платформе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eLibrary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произойдет после первого полугодия текущего года</w:t>
      </w:r>
    </w:p>
    <w:p w:rsidR="005D2657" w:rsidRDefault="005D2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последних лет СГЭУ сохраняет свои позиции в Топ-3 рейтинга университетов региона по общему числу публикаций в РИНЦ за период 2019-2023 гг., </w:t>
      </w:r>
      <w:r>
        <w:rPr>
          <w:rFonts w:ascii="Times New Roman" w:hAnsi="Times New Roman"/>
          <w:sz w:val="28"/>
          <w:szCs w:val="28"/>
        </w:rPr>
        <w:t xml:space="preserve">уступая Самарскому государственному Техническому </w:t>
      </w:r>
      <w:r>
        <w:rPr>
          <w:rFonts w:ascii="Times New Roman" w:hAnsi="Times New Roman"/>
          <w:sz w:val="28"/>
          <w:szCs w:val="28"/>
        </w:rPr>
        <w:lastRenderedPageBreak/>
        <w:t>университету и Национальному исследовательскому униве</w:t>
      </w:r>
      <w:r>
        <w:rPr>
          <w:rFonts w:ascii="Times New Roman" w:hAnsi="Times New Roman"/>
          <w:sz w:val="28"/>
          <w:szCs w:val="28"/>
        </w:rPr>
        <w:t>рситету имени С.П. Королева.</w:t>
      </w:r>
    </w:p>
    <w:p w:rsidR="005D2657" w:rsidRDefault="005D2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распределение числа публикаций в РИНЦ по институтам университета выглядит следующим образом: 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национальной и мировой экономики - 502 публикации; 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менеджмента - 436 публикации; 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гуманитарного образования — 270 публикаций; 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экономики предприятий - 269 публикаций;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права - 236 публикаций, </w:t>
      </w:r>
    </w:p>
    <w:p w:rsidR="005D2657" w:rsidRDefault="00E0057A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- 48 публикаций. </w:t>
      </w:r>
    </w:p>
    <w:p w:rsidR="005D2657" w:rsidRDefault="005D2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публикационной активности кафедр позволил выделить </w:t>
      </w:r>
      <w:r>
        <w:rPr>
          <w:rFonts w:ascii="Times New Roman" w:hAnsi="Times New Roman"/>
          <w:b/>
          <w:sz w:val="28"/>
          <w:szCs w:val="28"/>
        </w:rPr>
        <w:t>Топ-10 кафедр с наиболее вы</w:t>
      </w:r>
      <w:r>
        <w:rPr>
          <w:rFonts w:ascii="Times New Roman" w:hAnsi="Times New Roman"/>
          <w:b/>
          <w:sz w:val="28"/>
          <w:szCs w:val="28"/>
        </w:rPr>
        <w:t>соким уровнем публикационной активности в 2023 году:</w:t>
      </w:r>
    </w:p>
    <w:p w:rsidR="005D2657" w:rsidRDefault="00E0057A">
      <w:pPr>
        <w:spacing w:after="0" w:line="240" w:lineRule="auto"/>
        <w:ind w:left="720"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кафедра физического воспитания — 22,57 ед./1 НПР.</w:t>
      </w:r>
    </w:p>
    <w:p w:rsidR="005D2657" w:rsidRDefault="00E0057A">
      <w:pPr>
        <w:spacing w:after="0" w:line="240" w:lineRule="auto"/>
        <w:ind w:left="720"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кафедра землеустройства и экологии -21,79 ед. /1НПР;</w:t>
      </w:r>
    </w:p>
    <w:p w:rsidR="005D2657" w:rsidRDefault="00E0057A">
      <w:pPr>
        <w:spacing w:after="0" w:line="240" w:lineRule="auto"/>
        <w:ind w:left="720"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кафедра экономической теории – 18,62 ед./1НПР;</w:t>
      </w:r>
    </w:p>
    <w:p w:rsidR="005D2657" w:rsidRDefault="00E0057A">
      <w:pPr>
        <w:spacing w:after="0" w:line="240" w:lineRule="auto"/>
        <w:ind w:left="720"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кафедра маркетинга, логистики и рекламы —</w:t>
      </w:r>
      <w:r>
        <w:rPr>
          <w:rFonts w:ascii="Times New Roman" w:hAnsi="Times New Roman"/>
          <w:sz w:val="28"/>
          <w:szCs w:val="28"/>
        </w:rPr>
        <w:t xml:space="preserve"> 18,04 ед. /1НПР;</w:t>
      </w:r>
    </w:p>
    <w:p w:rsidR="005D2657" w:rsidRDefault="00E0057A">
      <w:pPr>
        <w:spacing w:after="0" w:line="240" w:lineRule="auto"/>
        <w:ind w:left="720"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кафедра теории права и публично-правовых дисциплин — 14,36 ед. /1НПР;</w:t>
      </w:r>
    </w:p>
    <w:p w:rsidR="005D2657" w:rsidRDefault="00E0057A">
      <w:pPr>
        <w:spacing w:after="0" w:line="240" w:lineRule="auto"/>
        <w:ind w:left="720"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кафедра статистики и эконометрики — 11,10 ед./1НПР;</w:t>
      </w:r>
    </w:p>
    <w:p w:rsidR="005D2657" w:rsidRDefault="00E0057A">
      <w:pPr>
        <w:spacing w:after="0" w:line="240" w:lineRule="auto"/>
        <w:ind w:left="720"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кафедра экономики, организации и стратегии развития предприятия — 10,12 </w:t>
      </w:r>
    </w:p>
    <w:p w:rsidR="005D2657" w:rsidRDefault="00E0057A">
      <w:pPr>
        <w:spacing w:after="0" w:line="240" w:lineRule="auto"/>
        <w:ind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ед./1НПР;</w:t>
      </w:r>
    </w:p>
    <w:p w:rsidR="005D2657" w:rsidRDefault="00E0057A">
      <w:pPr>
        <w:spacing w:after="0" w:line="240" w:lineRule="auto"/>
        <w:ind w:left="720"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кафедра прикладного м</w:t>
      </w:r>
      <w:r>
        <w:rPr>
          <w:rFonts w:ascii="Times New Roman" w:hAnsi="Times New Roman"/>
          <w:sz w:val="28"/>
          <w:szCs w:val="28"/>
        </w:rPr>
        <w:t>енеджмента — 10,03 ед./1НПР;</w:t>
      </w:r>
    </w:p>
    <w:p w:rsidR="005D2657" w:rsidRDefault="00E0057A">
      <w:pPr>
        <w:spacing w:after="0" w:line="240" w:lineRule="auto"/>
        <w:ind w:left="720"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кафедра управления персоналом — 9,54 ед./1НПР;</w:t>
      </w:r>
    </w:p>
    <w:p w:rsidR="005D2657" w:rsidRDefault="00E0057A">
      <w:pPr>
        <w:spacing w:after="0" w:line="240" w:lineRule="auto"/>
        <w:ind w:left="720" w:firstLine="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кафедра экономики и управления (</w:t>
      </w:r>
      <w:proofErr w:type="spellStart"/>
      <w:r>
        <w:rPr>
          <w:rFonts w:ascii="Times New Roman" w:hAnsi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филиал) — 9,09 ед./1НПР.</w:t>
      </w:r>
    </w:p>
    <w:p w:rsidR="005D2657" w:rsidRDefault="005D265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анализа публикационной активности авторов СГЭУ, индексируемых в изданиях РИНЦ, лидерами, </w:t>
      </w:r>
      <w:r>
        <w:rPr>
          <w:rFonts w:ascii="Times New Roman" w:hAnsi="Times New Roman"/>
          <w:sz w:val="28"/>
          <w:szCs w:val="28"/>
        </w:rPr>
        <w:t xml:space="preserve">по показателю Индекс </w:t>
      </w:r>
      <w:proofErr w:type="spellStart"/>
      <w:r>
        <w:rPr>
          <w:rFonts w:ascii="Times New Roman" w:hAnsi="Times New Roman"/>
          <w:sz w:val="28"/>
          <w:szCs w:val="28"/>
        </w:rPr>
        <w:t>Хирша</w:t>
      </w:r>
      <w:proofErr w:type="spellEnd"/>
      <w:r>
        <w:rPr>
          <w:rFonts w:ascii="Times New Roman" w:hAnsi="Times New Roman"/>
          <w:sz w:val="28"/>
          <w:szCs w:val="28"/>
        </w:rPr>
        <w:t xml:space="preserve"> без учета </w:t>
      </w:r>
      <w:proofErr w:type="spellStart"/>
      <w:r>
        <w:rPr>
          <w:rFonts w:ascii="Times New Roman" w:hAnsi="Times New Roman"/>
          <w:sz w:val="28"/>
          <w:szCs w:val="28"/>
        </w:rPr>
        <w:t>самоцитирований</w:t>
      </w:r>
      <w:proofErr w:type="spellEnd"/>
      <w:r>
        <w:rPr>
          <w:rFonts w:ascii="Times New Roman" w:hAnsi="Times New Roman"/>
          <w:sz w:val="28"/>
          <w:szCs w:val="28"/>
        </w:rPr>
        <w:t>, в 2023 году являются: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Иванова Лидия Александровна - 20;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Хмелева Галина Анатольевна - 19;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Звоновский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Борисович - 15;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Чистик Ольга Филипповна -15;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/>
          <w:sz w:val="28"/>
          <w:szCs w:val="28"/>
        </w:rPr>
        <w:t>Кябировна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15;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Симонова Марина Викторовна -14;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Ермолина Лилия Валерьевна - 14;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/>
          <w:sz w:val="28"/>
          <w:szCs w:val="28"/>
        </w:rPr>
        <w:t>Жабин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Петрович -14;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Корнеева Татьяна Анатольевна – 14.</w:t>
      </w:r>
    </w:p>
    <w:p w:rsidR="005D2657" w:rsidRDefault="005D2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4 издания СГЭУ, индексируются в РИНЦ: 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>Вестник Самарского государственного экономического университета</w:t>
      </w:r>
      <w:r>
        <w:rPr>
          <w:rFonts w:ascii="Times New Roman" w:hAnsi="Times New Roman"/>
          <w:sz w:val="28"/>
          <w:szCs w:val="28"/>
        </w:rPr>
        <w:t xml:space="preserve">» (включен в Перечень ВАК, Категория К-2), 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-«</w:t>
      </w:r>
      <w:proofErr w:type="gramEnd"/>
      <w:r>
        <w:rPr>
          <w:rFonts w:ascii="Times New Roman" w:hAnsi="Times New Roman"/>
          <w:sz w:val="28"/>
          <w:szCs w:val="28"/>
        </w:rPr>
        <w:t xml:space="preserve">Вестник молодых ученых СГЭУ» (РИНЦ), 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-Международный научно-практический журнал «</w:t>
      </w:r>
      <w:proofErr w:type="spellStart"/>
      <w:r>
        <w:rPr>
          <w:rFonts w:ascii="Times New Roman" w:hAnsi="Times New Roman"/>
          <w:sz w:val="28"/>
          <w:szCs w:val="28"/>
        </w:rPr>
        <w:t>OlymPlus</w:t>
      </w:r>
      <w:proofErr w:type="spellEnd"/>
      <w:r>
        <w:rPr>
          <w:rFonts w:ascii="Times New Roman" w:hAnsi="Times New Roman"/>
          <w:sz w:val="28"/>
          <w:szCs w:val="28"/>
        </w:rPr>
        <w:t xml:space="preserve">» (РИНЦ), </w:t>
      </w:r>
    </w:p>
    <w:p w:rsidR="005D2657" w:rsidRDefault="00E0057A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4" w:name="_Hlk126240039_Копия_1"/>
      <w:bookmarkEnd w:id="4"/>
      <w:proofErr w:type="gramStart"/>
      <w:r>
        <w:rPr>
          <w:rFonts w:ascii="Times New Roman" w:hAnsi="Times New Roman"/>
          <w:sz w:val="28"/>
          <w:szCs w:val="28"/>
          <w:lang w:eastAsia="en-US"/>
        </w:rPr>
        <w:t>-«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Актуальные проблемы правоведения» (РИНЦ).</w:t>
      </w:r>
    </w:p>
    <w:p w:rsidR="005D2657" w:rsidRDefault="005D2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657" w:rsidRDefault="00E0057A" w:rsidP="0006254A">
      <w:pPr>
        <w:pStyle w:val="1"/>
        <w:numPr>
          <w:ilvl w:val="0"/>
          <w:numId w:val="0"/>
        </w:numPr>
        <w:ind w:left="720"/>
        <w:jc w:val="left"/>
      </w:pPr>
      <w:bookmarkStart w:id="5" w:name="_Toc126320799"/>
      <w:r>
        <w:t>Организация и проведение научных мероприятий</w:t>
      </w:r>
      <w:bookmarkEnd w:id="5"/>
    </w:p>
    <w:p w:rsidR="005D2657" w:rsidRDefault="005D2657">
      <w:pPr>
        <w:pStyle w:val="af7"/>
        <w:spacing w:after="0" w:line="240" w:lineRule="auto"/>
        <w:ind w:left="0" w:firstLine="709"/>
        <w:rPr>
          <w:sz w:val="28"/>
          <w:szCs w:val="28"/>
        </w:rPr>
      </w:pP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на базе</w:t>
      </w:r>
      <w:r>
        <w:rPr>
          <w:rFonts w:ascii="Times New Roman" w:hAnsi="Times New Roman"/>
          <w:sz w:val="28"/>
          <w:szCs w:val="28"/>
        </w:rPr>
        <w:t xml:space="preserve"> СГЭУ в рамках Десятилетия науки и технологий в РФ было проведено свыше 20 научных мероприятий международного, всероссийского и регионального уровней, в том числе наиболее крупные из них:</w:t>
      </w:r>
    </w:p>
    <w:p w:rsidR="005D2657" w:rsidRDefault="00E0057A">
      <w:pPr>
        <w:tabs>
          <w:tab w:val="left" w:pos="851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 Международный научно-инновационный форум «Россия в многополярном мире; новые векторы развития» (22 – 26 мая 2023 года), который является уникальной площадкой для взаимодействия представителей научного и бизнес-сообществ, органов государственной власти </w:t>
      </w:r>
      <w:r>
        <w:rPr>
          <w:rFonts w:ascii="Times New Roman" w:hAnsi="Times New Roman"/>
          <w:sz w:val="28"/>
          <w:szCs w:val="28"/>
        </w:rPr>
        <w:t xml:space="preserve">и местного самоуправления, талантливой молодежи. Форум был организован при поддержке Министерства науки и высшего образования Российской Федерации, Правительства Самарской области, Международной ассоциации организаций финансово-экономического образования, </w:t>
      </w:r>
      <w:r>
        <w:rPr>
          <w:rFonts w:ascii="Times New Roman" w:hAnsi="Times New Roman"/>
          <w:sz w:val="28"/>
          <w:szCs w:val="28"/>
        </w:rPr>
        <w:t xml:space="preserve">Вольного экономического общества России, Лиги преподавателей Высшей школы. В программу форума вошло 68 мероприятий. В нем приняли участие суммарно более 2000 человек из 6 стран и 10 городов России. </w:t>
      </w:r>
      <w:r>
        <w:rPr>
          <w:rFonts w:ascii="Times New Roman" w:hAnsi="Times New Roman"/>
          <w:sz w:val="28"/>
          <w:szCs w:val="28"/>
        </w:rPr>
        <w:t xml:space="preserve"> ХI Международный научно-инновационный форум пройдет 27-31</w:t>
      </w:r>
      <w:r>
        <w:rPr>
          <w:rFonts w:ascii="Times New Roman" w:hAnsi="Times New Roman"/>
          <w:sz w:val="28"/>
          <w:szCs w:val="28"/>
        </w:rPr>
        <w:t xml:space="preserve"> мая 2024 года.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XXII международная научно-практическая конференция «Проблемы развития предприятий: теория и практика» (23-24 ноября 2023 г.), которая традиционно выступает площадкой для обсуждения наиболее актуальных вопросо</w:t>
      </w:r>
      <w:r>
        <w:rPr>
          <w:rFonts w:ascii="Times New Roman" w:hAnsi="Times New Roman"/>
          <w:sz w:val="28"/>
          <w:szCs w:val="28"/>
        </w:rPr>
        <w:t>в, связанных с обеспечением ус</w:t>
      </w:r>
      <w:r>
        <w:rPr>
          <w:rFonts w:ascii="Times New Roman" w:hAnsi="Times New Roman"/>
          <w:sz w:val="28"/>
          <w:szCs w:val="28"/>
        </w:rPr>
        <w:t>тойчивого развития отечественных предприятий в условиях модернизации экономики. В конференции приняли участие представители научных и деловых кругов не только из Самарской области и России, но и ближнего и дальнего зарубежья;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- Международная научно-практич</w:t>
      </w:r>
      <w:r>
        <w:rPr>
          <w:rFonts w:ascii="Times New Roman" w:hAnsi="Times New Roman"/>
          <w:sz w:val="28"/>
          <w:szCs w:val="28"/>
        </w:rPr>
        <w:t>еская конференция «Устойчивое развитие в неустойчивом мире» (23 мая 2023 г.), направленная на представление результатов исследований, посвященных передовому опыту стран Азии в реализации проектов устойчивого развития, нерешенным проблемам и способам их реш</w:t>
      </w:r>
      <w:r>
        <w:rPr>
          <w:rFonts w:ascii="Times New Roman" w:hAnsi="Times New Roman"/>
          <w:sz w:val="28"/>
          <w:szCs w:val="28"/>
        </w:rPr>
        <w:t>ения, актуальным вопросам достижения стран африканского континента инклюзивного и устойчивого развития. Партнерами конференции выступили Министерство науки и высшего образования Российской Федерации, ФГАОУ ВО «Самарский национальный исследовательский униве</w:t>
      </w:r>
      <w:r>
        <w:rPr>
          <w:rFonts w:ascii="Times New Roman" w:hAnsi="Times New Roman"/>
          <w:sz w:val="28"/>
          <w:szCs w:val="28"/>
        </w:rPr>
        <w:t xml:space="preserve">рситет имени академика С.П. Королева», ФГАОУ ВО «Российский университет дружбы народов имени </w:t>
      </w:r>
      <w:proofErr w:type="spellStart"/>
      <w:r>
        <w:rPr>
          <w:rFonts w:ascii="Times New Roman" w:hAnsi="Times New Roman"/>
          <w:sz w:val="28"/>
          <w:szCs w:val="28"/>
        </w:rPr>
        <w:t>Патриса</w:t>
      </w:r>
      <w:proofErr w:type="spellEnd"/>
      <w:r>
        <w:rPr>
          <w:rFonts w:ascii="Times New Roman" w:hAnsi="Times New Roman"/>
          <w:sz w:val="28"/>
          <w:szCs w:val="28"/>
        </w:rPr>
        <w:t xml:space="preserve"> Лумумбы», Университета </w:t>
      </w:r>
      <w:proofErr w:type="spellStart"/>
      <w:r>
        <w:rPr>
          <w:rFonts w:ascii="Times New Roman" w:hAnsi="Times New Roman"/>
          <w:sz w:val="28"/>
          <w:szCs w:val="28"/>
        </w:rPr>
        <w:t>Шопрона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(Венгрия), </w:t>
      </w:r>
      <w:proofErr w:type="spellStart"/>
      <w:r>
        <w:rPr>
          <w:rFonts w:ascii="Times New Roman" w:hAnsi="Times New Roman"/>
          <w:sz w:val="28"/>
          <w:szCs w:val="28"/>
        </w:rPr>
        <w:t>Egerton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University</w:t>
      </w:r>
      <w:proofErr w:type="spellEnd"/>
      <w:r>
        <w:rPr>
          <w:rFonts w:ascii="Times New Roman" w:hAnsi="Times New Roman"/>
          <w:sz w:val="28"/>
          <w:szCs w:val="28"/>
        </w:rPr>
        <w:t xml:space="preserve"> (Кения), ООО «Первое экономическое издательство»;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- Всероссийская научно-практическая конферен</w:t>
      </w:r>
      <w:r>
        <w:rPr>
          <w:rFonts w:ascii="Times New Roman" w:hAnsi="Times New Roman"/>
          <w:sz w:val="28"/>
          <w:szCs w:val="28"/>
        </w:rPr>
        <w:t xml:space="preserve">ция «Развитие региональной экономики: новые возможности роста» (25 мая 2023 г.),  проведенная при поддержке ФГАОУ ВО «Самарский национальный исследовательский университет имени академика С.П. Королева», ФГБОУ ВО </w:t>
      </w:r>
      <w:r>
        <w:rPr>
          <w:rFonts w:ascii="Times New Roman" w:hAnsi="Times New Roman"/>
          <w:sz w:val="28"/>
          <w:szCs w:val="28"/>
        </w:rPr>
        <w:lastRenderedPageBreak/>
        <w:t>«Российская академия народного хозяйства и г</w:t>
      </w:r>
      <w:r>
        <w:rPr>
          <w:rFonts w:ascii="Times New Roman" w:hAnsi="Times New Roman"/>
          <w:sz w:val="28"/>
          <w:szCs w:val="28"/>
        </w:rPr>
        <w:t>осударственной службы при Президенте Российской Федерации», ФГБОУ ВО «Российский экономический университет имени Г.В. Плеханова», АНО «Университет Национальной технологической инициативы 2035» и  направленная на представление результатов исследований, посв</w:t>
      </w:r>
      <w:r>
        <w:rPr>
          <w:rFonts w:ascii="Times New Roman" w:hAnsi="Times New Roman"/>
          <w:sz w:val="28"/>
          <w:szCs w:val="28"/>
        </w:rPr>
        <w:t>ященных новым возможностям роста региональной экономики в сложных экономических, политических и социальных условиях;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- 25-я Международная научно-практическая конференция «Актуальные проблемы глобальной экономики» совместно с Российским университетом дружбы</w:t>
      </w:r>
      <w:r>
        <w:rPr>
          <w:rFonts w:ascii="Times New Roman" w:hAnsi="Times New Roman"/>
          <w:sz w:val="28"/>
          <w:szCs w:val="28"/>
        </w:rPr>
        <w:t xml:space="preserve"> народов и Региональным центром развития публичной дипломатии и международных отношений им. Е.М. Примакова;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- XII международная научно-практическая конференция «Наука XXI века: актуальные направления развития» (22 февраля 2023 г., 22 сентября 2023 г.);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XV Всероссийская научно-практическая конференция «Российская наука: актуальные исследования и разработки» (27 марта 2023 г.);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- XVI Всероссийская научно-практическая конференция «Российская наука: актуальные исследования и разработки» (31 октября 2023 г.);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- XVII и XVIII международная научно-практическая конференция «Здоровье нации – современные ориентиры в образовании и воспитании учащейся молодежи» (15 июня 2023 г., 26 декабря 2023 г.);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- XII региональные </w:t>
      </w:r>
      <w:proofErr w:type="spellStart"/>
      <w:r>
        <w:rPr>
          <w:rFonts w:ascii="Times New Roman" w:hAnsi="Times New Roman"/>
          <w:sz w:val="28"/>
          <w:szCs w:val="28"/>
        </w:rPr>
        <w:t>Клейновские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 молодых ученых (11-12 декабря 2</w:t>
      </w:r>
      <w:r>
        <w:rPr>
          <w:rFonts w:ascii="Times New Roman" w:hAnsi="Times New Roman"/>
          <w:sz w:val="28"/>
          <w:szCs w:val="28"/>
        </w:rPr>
        <w:t>023г.);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Ведяхинские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 (05 декабря 2023г.);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Научные чтения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посвященные 95-летию со дня рождения</w:t>
      </w:r>
      <w:r>
        <w:rPr>
          <w:rFonts w:ascii="Times New Roman" w:hAnsi="Times New Roman"/>
          <w:sz w:val="28"/>
          <w:szCs w:val="28"/>
        </w:rPr>
        <w:br/>
        <w:t xml:space="preserve">А.И. </w:t>
      </w:r>
      <w:proofErr w:type="spellStart"/>
      <w:r>
        <w:rPr>
          <w:rFonts w:ascii="Times New Roman" w:hAnsi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(08 февраля 2023 года); 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- VII Всероссийская научно-практическая конференция «Экономика и общество: перспективы развития» (22 мая 2023 г.);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- научный поединок «</w:t>
      </w:r>
      <w:proofErr w:type="spellStart"/>
      <w:r>
        <w:rPr>
          <w:rFonts w:ascii="Times New Roman" w:hAnsi="Times New Roman"/>
          <w:sz w:val="28"/>
          <w:szCs w:val="28"/>
        </w:rPr>
        <w:t>Science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Slam</w:t>
      </w:r>
      <w:proofErr w:type="spellEnd"/>
      <w:r>
        <w:rPr>
          <w:rFonts w:ascii="Times New Roman" w:hAnsi="Times New Roman"/>
          <w:sz w:val="28"/>
          <w:szCs w:val="28"/>
        </w:rPr>
        <w:t xml:space="preserve"> СГЭУ» (31 октября 2023 г.);</w:t>
      </w:r>
    </w:p>
    <w:p w:rsidR="005D2657" w:rsidRDefault="00E0057A">
      <w:pPr>
        <w:tabs>
          <w:tab w:val="left" w:pos="851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- Межвузовский конкурс научных работ среди обучающихся, посвященный Международному дню борьбы с коррупцией «Определение института противодействия коррупции в органах публичной власти» (05 декабр</w:t>
      </w:r>
      <w:r>
        <w:rPr>
          <w:rFonts w:ascii="Times New Roman" w:hAnsi="Times New Roman"/>
          <w:sz w:val="28"/>
          <w:szCs w:val="28"/>
        </w:rPr>
        <w:t>я 2023 г.).</w:t>
      </w:r>
    </w:p>
    <w:p w:rsidR="005D2657" w:rsidRDefault="00E0057A">
      <w:pPr>
        <w:tabs>
          <w:tab w:val="left" w:pos="851"/>
        </w:tabs>
        <w:spacing w:before="240"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планируется провести 19 значимых научных мероприятия, из них 6 научных </w:t>
      </w:r>
      <w:r>
        <w:rPr>
          <w:rFonts w:ascii="Times New Roman" w:hAnsi="Times New Roman"/>
          <w:sz w:val="28"/>
          <w:szCs w:val="28"/>
        </w:rPr>
        <w:t>мероприятий с возможностью опубликования научных статей (</w:t>
      </w:r>
      <w:proofErr w:type="spellStart"/>
      <w:r>
        <w:rPr>
          <w:rFonts w:ascii="Times New Roman" w:hAnsi="Times New Roman"/>
          <w:sz w:val="28"/>
          <w:szCs w:val="28"/>
        </w:rPr>
        <w:t>табл</w:t>
      </w:r>
      <w:proofErr w:type="spellEnd"/>
      <w:r>
        <w:rPr>
          <w:rFonts w:ascii="Times New Roman" w:hAnsi="Times New Roman"/>
          <w:sz w:val="28"/>
          <w:szCs w:val="28"/>
        </w:rPr>
        <w:t xml:space="preserve"> 5).</w:t>
      </w:r>
    </w:p>
    <w:p w:rsidR="005D2657" w:rsidRDefault="005D2657">
      <w:pPr>
        <w:tabs>
          <w:tab w:val="left" w:pos="851"/>
        </w:tabs>
        <w:spacing w:before="240" w:after="0" w:line="240" w:lineRule="auto"/>
        <w:ind w:firstLine="700"/>
        <w:jc w:val="both"/>
        <w:rPr>
          <w:sz w:val="28"/>
          <w:szCs w:val="28"/>
        </w:rPr>
      </w:pPr>
    </w:p>
    <w:p w:rsidR="005D2657" w:rsidRDefault="005D2657">
      <w:pPr>
        <w:tabs>
          <w:tab w:val="left" w:pos="851"/>
        </w:tabs>
        <w:spacing w:before="240" w:after="0" w:line="240" w:lineRule="auto"/>
        <w:ind w:firstLine="700"/>
        <w:jc w:val="both"/>
        <w:rPr>
          <w:sz w:val="28"/>
          <w:szCs w:val="28"/>
        </w:rPr>
      </w:pPr>
    </w:p>
    <w:p w:rsidR="005D2657" w:rsidRDefault="005D2657">
      <w:pPr>
        <w:tabs>
          <w:tab w:val="left" w:pos="851"/>
        </w:tabs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</w:rPr>
      </w:pPr>
    </w:p>
    <w:p w:rsidR="005D2657" w:rsidRDefault="00E0057A">
      <w:pPr>
        <w:tabs>
          <w:tab w:val="left" w:pos="851"/>
        </w:tabs>
        <w:spacing w:after="0" w:line="240" w:lineRule="auto"/>
        <w:ind w:hanging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5 - Планируемые научные мероприятия в 2024 г. с возможностью публикации в   РИНЦ</w:t>
      </w:r>
    </w:p>
    <w:tbl>
      <w:tblPr>
        <w:tblW w:w="9553" w:type="dxa"/>
        <w:tblInd w:w="3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91"/>
        <w:gridCol w:w="1933"/>
        <w:gridCol w:w="2429"/>
      </w:tblGrid>
      <w:tr w:rsidR="005D2657">
        <w:trPr>
          <w:trHeight w:val="825"/>
        </w:trPr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5D2657">
        <w:trPr>
          <w:trHeight w:val="1155"/>
        </w:trPr>
        <w:tc>
          <w:tcPr>
            <w:tcW w:w="5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XIII Международная научно-практическая конференция «Наука XXI века: актуальные направления развития»</w:t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D2657" w:rsidRDefault="00E0057A">
            <w:pPr>
              <w:widowControl w:val="0"/>
              <w:tabs>
                <w:tab w:val="left" w:pos="-60"/>
                <w:tab w:val="left" w:pos="851"/>
              </w:tabs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сентябрь</w:t>
            </w:r>
          </w:p>
        </w:tc>
        <w:tc>
          <w:tcPr>
            <w:tcW w:w="24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Д.В.</w:t>
            </w:r>
          </w:p>
        </w:tc>
      </w:tr>
      <w:tr w:rsidR="005D2657">
        <w:trPr>
          <w:trHeight w:val="1155"/>
        </w:trPr>
        <w:tc>
          <w:tcPr>
            <w:tcW w:w="5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XVII и XVIII Всероссийская научно-практическая конференция «Российская </w:t>
            </w:r>
            <w:r>
              <w:rPr>
                <w:rFonts w:ascii="Times New Roman" w:hAnsi="Times New Roman"/>
                <w:sz w:val="28"/>
                <w:szCs w:val="28"/>
              </w:rPr>
              <w:t>наука: актуальные исследования и разработки»</w:t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D2657" w:rsidRDefault="00E0057A">
            <w:pPr>
              <w:widowControl w:val="0"/>
              <w:tabs>
                <w:tab w:val="left" w:pos="-60"/>
                <w:tab w:val="left" w:pos="851"/>
              </w:tabs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</w:t>
            </w:r>
          </w:p>
          <w:p w:rsidR="005D2657" w:rsidRDefault="00E0057A">
            <w:pPr>
              <w:widowControl w:val="0"/>
              <w:tabs>
                <w:tab w:val="left" w:pos="-60"/>
                <w:tab w:val="left" w:pos="851"/>
              </w:tabs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Д.В.</w:t>
            </w:r>
          </w:p>
        </w:tc>
      </w:tr>
      <w:tr w:rsidR="005D2657">
        <w:trPr>
          <w:trHeight w:val="1155"/>
        </w:trPr>
        <w:tc>
          <w:tcPr>
            <w:tcW w:w="5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международный юридический научный симпозиум «Актуальные проблемы развития правовой системы в цифровую эпоху»</w:t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-60"/>
                <w:tab w:val="left" w:pos="851"/>
              </w:tabs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5D2657">
        <w:trPr>
          <w:trHeight w:val="1440"/>
        </w:trPr>
        <w:tc>
          <w:tcPr>
            <w:tcW w:w="5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Всероссийская научно-практическая конференция </w:t>
            </w:r>
            <w:r>
              <w:rPr>
                <w:rFonts w:ascii="Times New Roman" w:hAnsi="Times New Roman"/>
                <w:sz w:val="28"/>
                <w:szCs w:val="28"/>
              </w:rPr>
              <w:t>(с международным участием) «Развитие региональной экономики: новые возможности роста»</w:t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Курникова М.В.</w:t>
            </w:r>
          </w:p>
        </w:tc>
      </w:tr>
      <w:tr w:rsidR="005D2657">
        <w:trPr>
          <w:trHeight w:val="1440"/>
        </w:trPr>
        <w:tc>
          <w:tcPr>
            <w:tcW w:w="5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XIX и XX Международная научно-практическая конференция «Здоровье нации - современные ориентиры в образовании и воспитании учащейся молодежи»</w:t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Л.А.</w:t>
            </w:r>
          </w:p>
        </w:tc>
      </w:tr>
      <w:tr w:rsidR="005D2657">
        <w:trPr>
          <w:trHeight w:val="1155"/>
        </w:trPr>
        <w:tc>
          <w:tcPr>
            <w:tcW w:w="5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XXIII Международная научно-практическая конференция «Проблемы развития предприятий: теория и практика»</w:t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657" w:rsidRDefault="00E0057A">
            <w:pPr>
              <w:widowControl w:val="0"/>
              <w:tabs>
                <w:tab w:val="left" w:pos="851"/>
              </w:tabs>
              <w:spacing w:after="0" w:line="240" w:lineRule="auto"/>
              <w:ind w:left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Н.В.</w:t>
            </w:r>
          </w:p>
        </w:tc>
      </w:tr>
    </w:tbl>
    <w:p w:rsidR="005D2657" w:rsidRDefault="005D2657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заключено 6 соглашений о сотрудничестве в научно-исследовательской и образовательных сферах, в</w:t>
      </w:r>
      <w:r>
        <w:rPr>
          <w:rFonts w:ascii="Times New Roman" w:hAnsi="Times New Roman"/>
          <w:sz w:val="28"/>
          <w:szCs w:val="28"/>
        </w:rPr>
        <w:t xml:space="preserve"> том числе с:</w:t>
      </w:r>
    </w:p>
    <w:p w:rsidR="005D2657" w:rsidRDefault="00E005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Национальным центром законодательства и правовых исследований республики Беларусь;</w:t>
      </w:r>
    </w:p>
    <w:p w:rsidR="005D2657" w:rsidRDefault="00E005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Восточным центром государственного планирования (ФАНУ «</w:t>
      </w:r>
      <w:proofErr w:type="spellStart"/>
      <w:r>
        <w:rPr>
          <w:rFonts w:ascii="Times New Roman" w:hAnsi="Times New Roman"/>
          <w:sz w:val="28"/>
          <w:szCs w:val="28"/>
        </w:rPr>
        <w:t>Востокгосплан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5D2657" w:rsidRDefault="00E005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«Открытый код»; </w:t>
      </w:r>
    </w:p>
    <w:p w:rsidR="005D2657" w:rsidRDefault="00E005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«Новгородским государственным университетом имени Ярослава Мудрого</w:t>
      </w:r>
      <w:r>
        <w:rPr>
          <w:rFonts w:ascii="Times New Roman" w:hAnsi="Times New Roman"/>
          <w:sz w:val="28"/>
          <w:szCs w:val="28"/>
        </w:rPr>
        <w:t>»;</w:t>
      </w:r>
    </w:p>
    <w:p w:rsidR="005D2657" w:rsidRDefault="00E005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Центр содействия популяризации офисных программных продуктов «</w:t>
      </w:r>
      <w:proofErr w:type="spellStart"/>
      <w:r>
        <w:rPr>
          <w:rFonts w:ascii="Times New Roman" w:hAnsi="Times New Roman"/>
          <w:sz w:val="28"/>
          <w:szCs w:val="28"/>
        </w:rPr>
        <w:t>Хаб</w:t>
      </w:r>
      <w:proofErr w:type="spellEnd"/>
      <w:r>
        <w:rPr>
          <w:rFonts w:ascii="Times New Roman" w:hAnsi="Times New Roman"/>
          <w:sz w:val="28"/>
          <w:szCs w:val="28"/>
        </w:rPr>
        <w:t xml:space="preserve"> (центр) Знаний </w:t>
      </w:r>
      <w:proofErr w:type="spellStart"/>
      <w:r>
        <w:rPr>
          <w:rFonts w:ascii="Times New Roman" w:hAnsi="Times New Roman"/>
          <w:sz w:val="28"/>
          <w:szCs w:val="28"/>
        </w:rPr>
        <w:t>МойОфис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D2657" w:rsidRDefault="00E005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Региональной общественной организацией «Федерация Компьютерного спорта Самарской области» (РОО «ФКС СО»).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Реализация научно-образовательных и исследовательских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проектов продолжится с партнерами в 2024 году.</w:t>
      </w:r>
    </w:p>
    <w:p w:rsidR="005D2657" w:rsidRDefault="005D2657">
      <w:pPr>
        <w:pStyle w:val="af7"/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</w:p>
    <w:p w:rsidR="005D2657" w:rsidRDefault="00E0057A">
      <w:pPr>
        <w:pStyle w:val="1"/>
        <w:spacing w:before="0" w:line="240" w:lineRule="auto"/>
        <w:ind w:left="0"/>
      </w:pPr>
      <w:bookmarkStart w:id="6" w:name="_Toc126320800"/>
      <w:r>
        <w:t>Научно-исследовательская работа студентов</w:t>
      </w:r>
      <w:bookmarkEnd w:id="6"/>
    </w:p>
    <w:p w:rsidR="005D2657" w:rsidRDefault="005D2657">
      <w:pPr>
        <w:pStyle w:val="af7"/>
        <w:spacing w:after="0" w:line="240" w:lineRule="auto"/>
        <w:ind w:left="0" w:firstLine="709"/>
        <w:rPr>
          <w:sz w:val="28"/>
          <w:szCs w:val="28"/>
        </w:rPr>
      </w:pP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развитию научно-исследовательской деятельности в университете активно привлекаются студенты. В 2023 году по результатам участия в конкурсах, конференциях и иных </w:t>
      </w:r>
      <w:r>
        <w:rPr>
          <w:rFonts w:ascii="Times New Roman" w:hAnsi="Times New Roman"/>
          <w:sz w:val="28"/>
          <w:szCs w:val="28"/>
        </w:rPr>
        <w:t>научных мероприятиях студентами получен ряд наград, в том числе наиболее значимые.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Международные конкурсы: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Международный научно-исследовательский конкурс «Лучшая студенческая статья года 2023» (Петрозаводск, 2023), </w:t>
      </w:r>
      <w:proofErr w:type="spellStart"/>
      <w:r>
        <w:rPr>
          <w:rFonts w:ascii="Times New Roman" w:hAnsi="Times New Roman"/>
          <w:sz w:val="28"/>
          <w:szCs w:val="28"/>
        </w:rPr>
        <w:t>Кудасова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Е.Д. (1 место), Дроздова А.</w:t>
      </w:r>
      <w:r>
        <w:rPr>
          <w:rFonts w:ascii="Times New Roman" w:hAnsi="Times New Roman"/>
          <w:sz w:val="28"/>
          <w:szCs w:val="28"/>
        </w:rPr>
        <w:t>М. (1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III Международный научно-исследовательский конкурс «Лучший исследовательский проект 2023» (Петрозаводск, 2023), Гришина Е.Д. (1 место), Андреева Е.А. (1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VI Международный научно-исследовательский конкурс «Лучшая исследовательская с</w:t>
      </w:r>
      <w:r>
        <w:rPr>
          <w:rFonts w:ascii="Times New Roman" w:hAnsi="Times New Roman"/>
          <w:sz w:val="28"/>
          <w:szCs w:val="28"/>
        </w:rPr>
        <w:t xml:space="preserve">татья 2023», </w:t>
      </w:r>
      <w:proofErr w:type="spellStart"/>
      <w:r>
        <w:rPr>
          <w:rFonts w:ascii="Times New Roman" w:hAnsi="Times New Roman"/>
          <w:sz w:val="28"/>
          <w:szCs w:val="28"/>
        </w:rPr>
        <w:t>Поздеев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 (1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IV Международный научно-исследовательский конкурс «Конкурс молодых ученых» (Пенза, 2023), Гаврюшин А.С. (1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Международный научно-исследовательский конкурс (Петрозаводск, 2023), </w:t>
      </w:r>
      <w:proofErr w:type="spellStart"/>
      <w:r>
        <w:rPr>
          <w:rFonts w:ascii="Times New Roman" w:hAnsi="Times New Roman"/>
          <w:sz w:val="28"/>
          <w:szCs w:val="28"/>
        </w:rPr>
        <w:t>Бордаков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Д.А. (1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 Ме</w:t>
      </w:r>
      <w:r>
        <w:rPr>
          <w:rFonts w:ascii="Times New Roman" w:hAnsi="Times New Roman"/>
          <w:sz w:val="28"/>
          <w:szCs w:val="28"/>
        </w:rPr>
        <w:t>ждународный конкурс научных работ «Наука Плюс», Сенокосов А.А. (2 место); Ненашева К.Е. (3 место), Ткаченко Е.С. (1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Международная студенческая олимпиада «</w:t>
      </w:r>
      <w:proofErr w:type="spellStart"/>
      <w:r>
        <w:rPr>
          <w:rFonts w:ascii="Times New Roman" w:hAnsi="Times New Roman"/>
          <w:sz w:val="28"/>
          <w:szCs w:val="28"/>
        </w:rPr>
        <w:t>Антикоррупция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 Д. (3 место), Майорова К.Д. (2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III Международная научно</w:t>
      </w:r>
      <w:r>
        <w:rPr>
          <w:rFonts w:ascii="Times New Roman" w:hAnsi="Times New Roman"/>
          <w:sz w:val="28"/>
          <w:szCs w:val="28"/>
        </w:rPr>
        <w:t>-практическая конференция «Актуальные аспекты научных исследований», Ахметова А.Р. (1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XVII Международный научно-исследовательский конкурс «Конкурс лучших студенческих работ» (Пенза, 2023), Осипов В. В. (1 место), </w:t>
      </w:r>
      <w:proofErr w:type="spellStart"/>
      <w:r>
        <w:rPr>
          <w:rFonts w:ascii="Times New Roman" w:hAnsi="Times New Roman"/>
          <w:sz w:val="28"/>
          <w:szCs w:val="28"/>
        </w:rPr>
        <w:t>Зенков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С.Г. (1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Междунар</w:t>
      </w:r>
      <w:r>
        <w:rPr>
          <w:rFonts w:ascii="Times New Roman" w:hAnsi="Times New Roman"/>
          <w:sz w:val="28"/>
          <w:szCs w:val="28"/>
        </w:rPr>
        <w:t>одный научно-исследовательский конкурс «Достижения современных исследователей» (Петрозаводск, 2023), Зингерман Д.А. (1 место), Алексеев А.А. (3 место)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Международный конкурс научных работ «Старт в науке», Плешаков Е.А. (1 место), </w:t>
      </w:r>
      <w:proofErr w:type="spellStart"/>
      <w:r>
        <w:rPr>
          <w:rFonts w:ascii="Times New Roman" w:hAnsi="Times New Roman"/>
          <w:sz w:val="28"/>
          <w:szCs w:val="28"/>
        </w:rPr>
        <w:t>Догушев</w:t>
      </w:r>
      <w:proofErr w:type="spellEnd"/>
      <w:r>
        <w:rPr>
          <w:rFonts w:ascii="Times New Roman" w:hAnsi="Times New Roman"/>
          <w:sz w:val="28"/>
          <w:szCs w:val="28"/>
        </w:rPr>
        <w:t xml:space="preserve"> О.А. (2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XVI Международный конкурс научных, методических и творческих работ «Социализация, воспитание, образование», Лазарев Е.М. (3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XIV Международный конкурс научных, учебных и творческих работ, Лазарев Е.М. (2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Всероссийские конкурсы: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II Вс</w:t>
      </w:r>
      <w:r>
        <w:rPr>
          <w:rFonts w:ascii="Times New Roman" w:hAnsi="Times New Roman"/>
          <w:sz w:val="28"/>
          <w:szCs w:val="28"/>
        </w:rPr>
        <w:t xml:space="preserve">ероссийский (с международным участием) конкурс научных, методических и творческих работ «Родина: общество, безопасность, экология», </w:t>
      </w:r>
      <w:proofErr w:type="spellStart"/>
      <w:r>
        <w:rPr>
          <w:rFonts w:ascii="Times New Roman" w:hAnsi="Times New Roman"/>
          <w:sz w:val="28"/>
          <w:szCs w:val="28"/>
        </w:rPr>
        <w:t>Кананыхина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А.О. (1 место).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XXI Всероссийская (с международным участием) научная студенческая олимпиада по маркетингу «</w:t>
      </w:r>
      <w:proofErr w:type="spellStart"/>
      <w:r>
        <w:rPr>
          <w:rFonts w:ascii="Times New Roman" w:hAnsi="Times New Roman"/>
          <w:sz w:val="28"/>
          <w:szCs w:val="28"/>
        </w:rPr>
        <w:t>Хака</w:t>
      </w:r>
      <w:r>
        <w:rPr>
          <w:rFonts w:ascii="Times New Roman" w:hAnsi="Times New Roman"/>
          <w:sz w:val="28"/>
          <w:szCs w:val="28"/>
        </w:rPr>
        <w:t>тон</w:t>
      </w:r>
      <w:proofErr w:type="spellEnd"/>
      <w:r>
        <w:rPr>
          <w:rFonts w:ascii="Times New Roman" w:hAnsi="Times New Roman"/>
          <w:sz w:val="28"/>
          <w:szCs w:val="28"/>
        </w:rPr>
        <w:t xml:space="preserve">: маркетинг 4.0-управление возможностями», </w:t>
      </w: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 (3 место), </w:t>
      </w:r>
      <w:proofErr w:type="spellStart"/>
      <w:r>
        <w:rPr>
          <w:rFonts w:ascii="Times New Roman" w:hAnsi="Times New Roman"/>
          <w:sz w:val="28"/>
          <w:szCs w:val="28"/>
        </w:rPr>
        <w:t>Зевайкина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 (3 место), Золотухин Е. </w:t>
      </w:r>
      <w:r>
        <w:rPr>
          <w:rFonts w:ascii="Times New Roman" w:hAnsi="Times New Roman"/>
          <w:sz w:val="28"/>
          <w:szCs w:val="28"/>
        </w:rPr>
        <w:lastRenderedPageBreak/>
        <w:t xml:space="preserve">(3 место), Маврина А. (3 место), Валуев Я. (призер), Кочкурова Ю. (призер), </w:t>
      </w:r>
      <w:proofErr w:type="spellStart"/>
      <w:r>
        <w:rPr>
          <w:rFonts w:ascii="Times New Roman" w:hAnsi="Times New Roman"/>
          <w:sz w:val="28"/>
          <w:szCs w:val="28"/>
        </w:rPr>
        <w:t>Руфан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(призёр), </w:t>
      </w:r>
      <w:proofErr w:type="spellStart"/>
      <w:r>
        <w:rPr>
          <w:rFonts w:ascii="Times New Roman" w:hAnsi="Times New Roman"/>
          <w:sz w:val="28"/>
          <w:szCs w:val="28"/>
        </w:rPr>
        <w:t>Ширявская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 (призёр);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VII Всероссийская </w:t>
      </w:r>
      <w:r>
        <w:rPr>
          <w:rFonts w:ascii="Times New Roman" w:hAnsi="Times New Roman"/>
          <w:sz w:val="28"/>
          <w:szCs w:val="28"/>
        </w:rPr>
        <w:t xml:space="preserve">научно-практическая конференция, </w:t>
      </w:r>
      <w:proofErr w:type="spellStart"/>
      <w:r>
        <w:rPr>
          <w:rFonts w:ascii="Times New Roman" w:hAnsi="Times New Roman"/>
          <w:sz w:val="28"/>
          <w:szCs w:val="28"/>
        </w:rPr>
        <w:t>Клетнов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В.Д. (2 место), Липатова И.С. (1 место), Воробьева А.А. (1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ХV Всероссийская </w:t>
      </w:r>
      <w:proofErr w:type="spell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научная конференция курсантов «Проблемы и перспективы развития военной науки и техники», </w:t>
      </w:r>
      <w:proofErr w:type="spellStart"/>
      <w:r>
        <w:rPr>
          <w:rFonts w:ascii="Times New Roman" w:hAnsi="Times New Roman"/>
          <w:sz w:val="28"/>
          <w:szCs w:val="28"/>
        </w:rPr>
        <w:t>Московая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Д.Э. (2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2-я</w:t>
      </w:r>
      <w:r>
        <w:rPr>
          <w:rFonts w:ascii="Times New Roman" w:hAnsi="Times New Roman"/>
          <w:sz w:val="28"/>
          <w:szCs w:val="28"/>
        </w:rPr>
        <w:t xml:space="preserve"> Всероссийская научно-практическая конференция «Актуальные вопросы устойчивого развития государства, общества и экономики» (Курск 2023), Селезнева М.П. (3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ХIII Всероссийский (с международным участием) конкурс научных, методических и творческих ра</w:t>
      </w:r>
      <w:r>
        <w:rPr>
          <w:rFonts w:ascii="Times New Roman" w:hAnsi="Times New Roman"/>
          <w:sz w:val="28"/>
          <w:szCs w:val="28"/>
        </w:rPr>
        <w:t>бот «Право на детство: знание, семья, безопасность», Лазарев Е.М. (1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VIII Всероссийский (с международным участием) конкурс научных, методических и творческих работ «Родина: патриотизм, гражданственность, традиционализм» посвященный 78-й годовщине</w:t>
      </w:r>
      <w:r>
        <w:rPr>
          <w:rFonts w:ascii="Times New Roman" w:hAnsi="Times New Roman"/>
          <w:sz w:val="28"/>
          <w:szCs w:val="28"/>
        </w:rPr>
        <w:t xml:space="preserve"> Победы в Великой Отечественной войне, году педагога и наставника, Лазарев Е.М. (1 место);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XIII Евразийский экономический форум молодёжи «Многополярный мир в фокусе новой действительности», </w:t>
      </w:r>
      <w:proofErr w:type="spellStart"/>
      <w:r>
        <w:rPr>
          <w:rFonts w:ascii="Times New Roman" w:hAnsi="Times New Roman"/>
          <w:sz w:val="28"/>
          <w:szCs w:val="28"/>
        </w:rPr>
        <w:t>Сыресенкова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 (2 место).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Региональные конкурсы: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XLIX </w:t>
      </w:r>
      <w:r>
        <w:rPr>
          <w:rFonts w:ascii="Times New Roman" w:hAnsi="Times New Roman"/>
          <w:sz w:val="28"/>
          <w:szCs w:val="28"/>
        </w:rPr>
        <w:t>Самарская областная студенческая научная конференция: 4 студента (1 место), 11 студентов (2 место), 6 студентов (3 место).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студентами также были выиграны индивидуальные гранты, премии и стипендии за достижения в области научной деятельности: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премия в рамках Областного конкурса «Молодой ученый 2023»: в номинации «Студент» (сумма – 50 000 руб.) – </w:t>
      </w:r>
      <w:proofErr w:type="spellStart"/>
      <w:r>
        <w:rPr>
          <w:rFonts w:ascii="Times New Roman" w:hAnsi="Times New Roman"/>
          <w:sz w:val="28"/>
          <w:szCs w:val="28"/>
        </w:rPr>
        <w:t>Стёпкина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Ю.С.; в номинации «Аспирант» (сумма - 100 000 руб.) – Корнилова К.А.;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стипендия Губернатора Самарской области (сумма – 30 000 руб.) – Афанас</w:t>
      </w:r>
      <w:r>
        <w:rPr>
          <w:rFonts w:ascii="Times New Roman" w:hAnsi="Times New Roman"/>
          <w:sz w:val="28"/>
          <w:szCs w:val="28"/>
        </w:rPr>
        <w:t xml:space="preserve">ьева А.М., Иванов И.А., </w:t>
      </w:r>
      <w:proofErr w:type="spellStart"/>
      <w:r>
        <w:rPr>
          <w:rFonts w:ascii="Times New Roman" w:hAnsi="Times New Roman"/>
          <w:sz w:val="28"/>
          <w:szCs w:val="28"/>
        </w:rPr>
        <w:t>Матюшкова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В.С., Савельев И.В., Варламов А.Н., Алешина Т.А., Алексеева А.И.;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стипендия имени П.В. Алабина (сумма 10 800 руб.) - Гладышева К.В., </w:t>
      </w:r>
      <w:proofErr w:type="spellStart"/>
      <w:r>
        <w:rPr>
          <w:rFonts w:ascii="Times New Roman" w:hAnsi="Times New Roman"/>
          <w:sz w:val="28"/>
          <w:szCs w:val="28"/>
        </w:rPr>
        <w:t>Мухутдинова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Л.М., </w:t>
      </w:r>
      <w:proofErr w:type="spellStart"/>
      <w:r>
        <w:rPr>
          <w:rFonts w:ascii="Times New Roman" w:hAnsi="Times New Roman"/>
          <w:sz w:val="28"/>
          <w:szCs w:val="28"/>
        </w:rPr>
        <w:t>Тороп</w:t>
      </w:r>
      <w:proofErr w:type="spellEnd"/>
      <w:r>
        <w:rPr>
          <w:rFonts w:ascii="Times New Roman" w:hAnsi="Times New Roman"/>
          <w:sz w:val="28"/>
          <w:szCs w:val="28"/>
        </w:rPr>
        <w:t xml:space="preserve"> С.С., Плаксина М.С.</w:t>
      </w:r>
    </w:p>
    <w:p w:rsidR="005D2657" w:rsidRDefault="00E0057A">
      <w:pPr>
        <w:spacing w:before="240"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активную научно-исследовательскую </w:t>
      </w:r>
      <w:r>
        <w:rPr>
          <w:rFonts w:ascii="Times New Roman" w:hAnsi="Times New Roman"/>
          <w:sz w:val="28"/>
          <w:szCs w:val="28"/>
        </w:rPr>
        <w:t>работу со студентами, отмеченную научными достижениями, осуществляли в 2023 году следующие преподаватели университета:</w:t>
      </w:r>
    </w:p>
    <w:p w:rsidR="005D2657" w:rsidRDefault="00E0057A">
      <w:pPr>
        <w:spacing w:after="0" w:line="240" w:lineRule="auto"/>
        <w:ind w:left="1080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 Лазарева Наталья Владимировна;</w:t>
      </w:r>
    </w:p>
    <w:p w:rsidR="005D2657" w:rsidRDefault="00E0057A">
      <w:pPr>
        <w:spacing w:after="0" w:line="240" w:lineRule="auto"/>
        <w:ind w:left="1080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  </w:t>
      </w:r>
      <w:proofErr w:type="spellStart"/>
      <w:r>
        <w:rPr>
          <w:rFonts w:ascii="Times New Roman" w:hAnsi="Times New Roman"/>
          <w:sz w:val="28"/>
          <w:szCs w:val="28"/>
        </w:rPr>
        <w:t>Шарохина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Владимировна (Сызрань);</w:t>
      </w:r>
    </w:p>
    <w:p w:rsidR="005D2657" w:rsidRDefault="00E0057A">
      <w:pPr>
        <w:spacing w:after="0" w:line="240" w:lineRule="auto"/>
        <w:ind w:left="1080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  </w:t>
      </w:r>
      <w:proofErr w:type="spellStart"/>
      <w:r>
        <w:rPr>
          <w:rFonts w:ascii="Times New Roman" w:hAnsi="Times New Roman"/>
          <w:sz w:val="28"/>
          <w:szCs w:val="28"/>
        </w:rPr>
        <w:t>Чиркунова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Константино</w:t>
      </w:r>
      <w:r>
        <w:rPr>
          <w:rFonts w:ascii="Times New Roman" w:hAnsi="Times New Roman"/>
          <w:sz w:val="28"/>
          <w:szCs w:val="28"/>
        </w:rPr>
        <w:t>вна;</w:t>
      </w:r>
    </w:p>
    <w:p w:rsidR="005D2657" w:rsidRDefault="00E0057A">
      <w:pPr>
        <w:spacing w:after="0" w:line="240" w:lineRule="auto"/>
        <w:ind w:left="1080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 Коробова Александра Петровна;</w:t>
      </w:r>
    </w:p>
    <w:p w:rsidR="005D2657" w:rsidRDefault="00E0057A">
      <w:pPr>
        <w:spacing w:after="0" w:line="240" w:lineRule="auto"/>
        <w:ind w:left="1080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  </w:t>
      </w:r>
      <w:proofErr w:type="spellStart"/>
      <w:r>
        <w:rPr>
          <w:rFonts w:ascii="Times New Roman" w:hAnsi="Times New Roman"/>
          <w:sz w:val="28"/>
          <w:szCs w:val="28"/>
        </w:rPr>
        <w:t>Ревина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Николаевна;</w:t>
      </w:r>
    </w:p>
    <w:p w:rsidR="005D2657" w:rsidRDefault="00E0057A">
      <w:pPr>
        <w:spacing w:after="0" w:line="240" w:lineRule="auto"/>
        <w:ind w:left="1080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 Зиньков Евгений Николаевич;</w:t>
      </w:r>
    </w:p>
    <w:p w:rsidR="005D2657" w:rsidRDefault="00E0057A">
      <w:pPr>
        <w:spacing w:after="0" w:line="240" w:lineRule="auto"/>
        <w:ind w:left="1080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 Касаткин Сергей Николаевич;</w:t>
      </w:r>
    </w:p>
    <w:p w:rsidR="005D2657" w:rsidRDefault="00E0057A">
      <w:pPr>
        <w:spacing w:after="0" w:line="240" w:lineRule="auto"/>
        <w:ind w:left="1080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 Рахматуллина Альбина Рустамовна;</w:t>
      </w:r>
    </w:p>
    <w:p w:rsidR="005D2657" w:rsidRDefault="00E0057A">
      <w:pPr>
        <w:spacing w:after="0" w:line="240" w:lineRule="auto"/>
        <w:ind w:left="1080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 Шереметьева Елена Николаевна;</w:t>
      </w:r>
    </w:p>
    <w:p w:rsidR="005D2657" w:rsidRDefault="00E0057A">
      <w:pPr>
        <w:spacing w:after="0" w:line="240" w:lineRule="auto"/>
        <w:ind w:left="1080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Мартынова Ирина Анатольевна.</w:t>
      </w:r>
    </w:p>
    <w:p w:rsidR="005D2657" w:rsidRDefault="005D2657">
      <w:pPr>
        <w:ind w:firstLine="709"/>
        <w:jc w:val="both"/>
        <w:rPr>
          <w:sz w:val="28"/>
          <w:szCs w:val="28"/>
        </w:rPr>
      </w:pPr>
    </w:p>
    <w:p w:rsidR="005D2657" w:rsidRDefault="00E0057A" w:rsidP="0006254A">
      <w:pPr>
        <w:pStyle w:val="1"/>
        <w:numPr>
          <w:ilvl w:val="0"/>
          <w:numId w:val="0"/>
        </w:numPr>
        <w:spacing w:before="0" w:line="240" w:lineRule="auto"/>
        <w:ind w:left="720"/>
        <w:jc w:val="left"/>
      </w:pPr>
      <w:bookmarkStart w:id="7" w:name="_Toc126320802"/>
      <w:r>
        <w:t>Подготовка научных и научно-педагогических кадров</w:t>
      </w:r>
      <w:bookmarkEnd w:id="7"/>
    </w:p>
    <w:p w:rsidR="005D2657" w:rsidRDefault="005D2657">
      <w:pPr>
        <w:pStyle w:val="af7"/>
        <w:spacing w:after="0" w:line="240" w:lineRule="auto"/>
        <w:ind w:left="927"/>
        <w:rPr>
          <w:color w:val="FF0000"/>
          <w:sz w:val="28"/>
          <w:szCs w:val="28"/>
        </w:rPr>
      </w:pP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прием на обучение по программам подготовки научных и научно-педагогических кадров в аспирантуре Университета осуществлен в установленные сроки в рамках </w:t>
      </w:r>
      <w:r>
        <w:rPr>
          <w:rFonts w:ascii="Times New Roman" w:hAnsi="Times New Roman"/>
          <w:sz w:val="28"/>
          <w:szCs w:val="28"/>
        </w:rPr>
        <w:t>основного приема, по результатам которого на программы подготовки научных и научно-педагогических кадров зачислены 165 чел., в том числе 2 чел. за счет средств субсидии федерального бюджета (табл. 6).</w:t>
      </w:r>
    </w:p>
    <w:p w:rsidR="005D2657" w:rsidRDefault="005D2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before="240" w:after="120" w:line="240" w:lineRule="auto"/>
        <w:jc w:val="both"/>
      </w:pPr>
      <w:r>
        <w:rPr>
          <w:rFonts w:ascii="Times New Roman" w:hAnsi="Times New Roman"/>
          <w:sz w:val="28"/>
          <w:szCs w:val="28"/>
        </w:rPr>
        <w:t>Таблица 6 - Прием на обучение по программам подготовки</w:t>
      </w:r>
      <w:r>
        <w:rPr>
          <w:rFonts w:ascii="Times New Roman" w:hAnsi="Times New Roman"/>
          <w:sz w:val="28"/>
          <w:szCs w:val="28"/>
        </w:rPr>
        <w:t xml:space="preserve"> научных и научно-педагогических кадров, 2019-2023 гг. </w:t>
      </w:r>
    </w:p>
    <w:tbl>
      <w:tblPr>
        <w:tblW w:w="9795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900"/>
        <w:gridCol w:w="1305"/>
        <w:gridCol w:w="1140"/>
        <w:gridCol w:w="1080"/>
        <w:gridCol w:w="1125"/>
        <w:gridCol w:w="1245"/>
      </w:tblGrid>
      <w:tr w:rsidR="005D2657">
        <w:trPr>
          <w:trHeight w:val="547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приема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 г.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 г.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</w:tc>
      </w:tr>
      <w:tr w:rsidR="005D2657">
        <w:trPr>
          <w:trHeight w:val="915"/>
        </w:trPr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места в рамках контрольных цифр приема (без указания особой квоты и целевой квоты)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2657">
        <w:trPr>
          <w:trHeight w:val="870"/>
        </w:trPr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договорам об оказании платных образовательных услуг по очной форме обучения 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5D2657">
        <w:trPr>
          <w:trHeight w:val="525"/>
        </w:trPr>
        <w:tc>
          <w:tcPr>
            <w:tcW w:w="3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657" w:rsidRDefault="00E0057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</w:tbl>
    <w:p w:rsidR="005D2657" w:rsidRDefault="005D2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высокие показатели набора характерны для следующих научных специальностей - программ аспирантуры: 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менеджмент (48 чел.), 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региональная и отраслевая экономика (36 чел.)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теоретико- исторические науки (15 чел.).</w:t>
      </w:r>
    </w:p>
    <w:p w:rsidR="005D2657" w:rsidRDefault="00E005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Структурный состав поступивших в аспирантуру в 2023 году по месту получения предыдущего образования кардинально не поменялся по сравнению с приемной кампанией 2022 г</w:t>
      </w:r>
      <w:r>
        <w:rPr>
          <w:rFonts w:ascii="Times New Roman" w:hAnsi="Times New Roman"/>
          <w:sz w:val="28"/>
          <w:szCs w:val="28"/>
        </w:rPr>
        <w:t>ода. В 2023 году в структуре абитуриентов, зачисленных на программы аспирантуры, более половины (59%) - выпускники других российских университетов: Российский государственный гуманитарный университет, Самарский госуниверситет, Самарский юридический институ</w:t>
      </w:r>
      <w:r>
        <w:rPr>
          <w:rFonts w:ascii="Times New Roman" w:hAnsi="Times New Roman"/>
          <w:sz w:val="28"/>
          <w:szCs w:val="28"/>
        </w:rPr>
        <w:t>т ФСИН, Саратовский юридический институт МВД, Самарский технический университет, Поволжская государственный университет телекоммуникаций и информатики, Московский университет им. Баумана, Высшая школа экономики, Российская академия народного хозяйства и го</w:t>
      </w:r>
      <w:r>
        <w:rPr>
          <w:rFonts w:ascii="Times New Roman" w:hAnsi="Times New Roman"/>
          <w:sz w:val="28"/>
          <w:szCs w:val="28"/>
        </w:rPr>
        <w:t xml:space="preserve">сударственной службы, Московский государственный университет. </w:t>
      </w:r>
    </w:p>
    <w:p w:rsidR="005D2657" w:rsidRDefault="00E00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eading=h.4d34og8"/>
      <w:bookmarkEnd w:id="8"/>
      <w:r>
        <w:rPr>
          <w:rFonts w:ascii="Times New Roman" w:hAnsi="Times New Roman"/>
          <w:sz w:val="28"/>
          <w:szCs w:val="28"/>
        </w:rPr>
        <w:lastRenderedPageBreak/>
        <w:t>Наряду с отмеченными положительными результатами работы в период приемной кампании следует обратить внимание на имеющиеся нерешенные вопросы:</w:t>
      </w:r>
    </w:p>
    <w:p w:rsidR="005D2657" w:rsidRDefault="00E0057A">
      <w:pPr>
        <w:numPr>
          <w:ilvl w:val="0"/>
          <w:numId w:val="3"/>
        </w:numPr>
        <w:tabs>
          <w:tab w:val="left" w:pos="810"/>
        </w:tabs>
        <w:spacing w:after="0" w:line="240" w:lineRule="auto"/>
        <w:ind w:left="0"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квалификация технических специалистов (опера</w:t>
      </w:r>
      <w:r>
        <w:rPr>
          <w:rFonts w:ascii="Times New Roman" w:hAnsi="Times New Roman"/>
          <w:sz w:val="28"/>
          <w:szCs w:val="28"/>
        </w:rPr>
        <w:t>торов), осуществляющих прием документов для поступления, владеющих навыками приема и контроля качества документов на программы аспирантуры.</w:t>
      </w:r>
    </w:p>
    <w:p w:rsidR="005D2657" w:rsidRDefault="00E0057A">
      <w:pPr>
        <w:numPr>
          <w:ilvl w:val="0"/>
          <w:numId w:val="3"/>
        </w:numPr>
        <w:tabs>
          <w:tab w:val="left" w:pos="810"/>
        </w:tabs>
        <w:spacing w:after="0" w:line="240" w:lineRule="auto"/>
        <w:ind w:left="0"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четкого взаимодействия между приемной комиссией и договорным отделом в части оформления договоров, скидок</w:t>
      </w:r>
      <w:r>
        <w:rPr>
          <w:rFonts w:ascii="Times New Roman" w:hAnsi="Times New Roman"/>
          <w:sz w:val="28"/>
          <w:szCs w:val="28"/>
        </w:rPr>
        <w:t xml:space="preserve"> и доп. соглашений.</w:t>
      </w:r>
    </w:p>
    <w:p w:rsidR="005D2657" w:rsidRDefault="00E0057A">
      <w:pPr>
        <w:numPr>
          <w:ilvl w:val="0"/>
          <w:numId w:val="3"/>
        </w:numPr>
        <w:tabs>
          <w:tab w:val="left" w:pos="810"/>
        </w:tabs>
        <w:spacing w:after="0" w:line="240" w:lineRule="auto"/>
        <w:ind w:left="0"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нерешенных вопросов технического сопровождения приемной кампании 1С: Университет.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контингент обучающихся в аспирантуре по состоянию на 01.01.2023 г. 962 чел., из них по ФГОС – 84 чел., ФГТ – 878 чел. 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в СГЭУ бы</w:t>
      </w:r>
      <w:r>
        <w:rPr>
          <w:rFonts w:ascii="Times New Roman" w:hAnsi="Times New Roman"/>
          <w:sz w:val="28"/>
          <w:szCs w:val="28"/>
        </w:rPr>
        <w:t>ли открыты и осуществляли свою деятельность два диссертационных совета: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24.2.378.01 по защите диссертации на соискание ученой степени кандидата наук, на соискание ученой степени доктора наук по научным специальностям 5.2.3.  Региональная и отраслевая эконо</w:t>
      </w:r>
      <w:r>
        <w:rPr>
          <w:rFonts w:ascii="Times New Roman" w:hAnsi="Times New Roman"/>
          <w:sz w:val="28"/>
          <w:szCs w:val="28"/>
        </w:rPr>
        <w:t>мика (бухгалтерский учет, аудит и экономическая статистика, региональная экономика) (экономические науки); 5.2.6. Менеджмент (экономические науки) (Приказ № 142/</w:t>
      </w:r>
      <w:proofErr w:type="spellStart"/>
      <w:r>
        <w:rPr>
          <w:rFonts w:ascii="Times New Roman" w:hAnsi="Times New Roman"/>
          <w:sz w:val="28"/>
          <w:szCs w:val="28"/>
        </w:rPr>
        <w:t>нк</w:t>
      </w:r>
      <w:proofErr w:type="spellEnd"/>
      <w:r>
        <w:rPr>
          <w:rFonts w:ascii="Times New Roman" w:hAnsi="Times New Roman"/>
          <w:sz w:val="28"/>
          <w:szCs w:val="28"/>
        </w:rPr>
        <w:t xml:space="preserve"> от 06 февраля 2023 г.);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24.2.378.02 по защите диссертации на соискание ученой степени </w:t>
      </w:r>
      <w:r>
        <w:rPr>
          <w:rFonts w:ascii="Times New Roman" w:hAnsi="Times New Roman"/>
          <w:sz w:val="28"/>
          <w:szCs w:val="28"/>
        </w:rPr>
        <w:t>кандидата наук, на соискание ученой степени доктора наук по научным специальностям 5.2.1. Экономическая теория (экономические науки); 5.2.4. Финансы (экономические науки) (Приказ № 299/</w:t>
      </w:r>
      <w:proofErr w:type="spellStart"/>
      <w:r>
        <w:rPr>
          <w:rFonts w:ascii="Times New Roman" w:hAnsi="Times New Roman"/>
          <w:sz w:val="28"/>
          <w:szCs w:val="28"/>
        </w:rPr>
        <w:t>нк</w:t>
      </w:r>
      <w:proofErr w:type="spellEnd"/>
      <w:r>
        <w:rPr>
          <w:rFonts w:ascii="Times New Roman" w:hAnsi="Times New Roman"/>
          <w:sz w:val="28"/>
          <w:szCs w:val="28"/>
        </w:rPr>
        <w:t xml:space="preserve"> от 21 февраля 2023 г.).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2023 год в диссертационном совете 24.2.378.01 состоялись защиты 3 диссертаций на соискание ученых степеней, в том числе по научным специальностям: 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- 5.2.6. Менеджмент - 2 ед. (д.э.н.).</w:t>
      </w:r>
    </w:p>
    <w:p w:rsidR="005D2657" w:rsidRDefault="00E0057A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- 5.2.3. Региональная и отраслевая экономика (региональная экономик</w:t>
      </w:r>
      <w:r>
        <w:rPr>
          <w:rFonts w:ascii="Times New Roman" w:hAnsi="Times New Roman"/>
          <w:sz w:val="28"/>
          <w:szCs w:val="28"/>
        </w:rPr>
        <w:t>а) - 1 ед. (к.э.н.).</w:t>
      </w:r>
    </w:p>
    <w:p w:rsidR="005D2657" w:rsidRDefault="005D265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5D2657">
      <w:footerReference w:type="default" r:id="rId8"/>
      <w:pgSz w:w="11906" w:h="16838"/>
      <w:pgMar w:top="851" w:right="851" w:bottom="851" w:left="1701" w:header="0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57A" w:rsidRDefault="00E0057A">
      <w:pPr>
        <w:spacing w:after="0" w:line="240" w:lineRule="auto"/>
      </w:pPr>
      <w:r>
        <w:separator/>
      </w:r>
    </w:p>
  </w:endnote>
  <w:endnote w:type="continuationSeparator" w:id="0">
    <w:p w:rsidR="00E0057A" w:rsidRDefault="00E0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564175"/>
      <w:docPartObj>
        <w:docPartGallery w:val="Page Numbers (Bottom of Page)"/>
        <w:docPartUnique/>
      </w:docPartObj>
    </w:sdtPr>
    <w:sdtEndPr/>
    <w:sdtContent>
      <w:p w:rsidR="005D2657" w:rsidRDefault="00E0057A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64189">
          <w:rPr>
            <w:noProof/>
          </w:rPr>
          <w:t>9</w:t>
        </w:r>
        <w:r>
          <w:fldChar w:fldCharType="end"/>
        </w:r>
      </w:p>
      <w:p w:rsidR="005D2657" w:rsidRDefault="00E0057A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57A" w:rsidRDefault="00E0057A">
      <w:pPr>
        <w:spacing w:after="0" w:line="240" w:lineRule="auto"/>
      </w:pPr>
      <w:r>
        <w:separator/>
      </w:r>
    </w:p>
  </w:footnote>
  <w:footnote w:type="continuationSeparator" w:id="0">
    <w:p w:rsidR="00E0057A" w:rsidRDefault="00E0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E71FB"/>
    <w:multiLevelType w:val="multilevel"/>
    <w:tmpl w:val="E358444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2F3D47"/>
    <w:multiLevelType w:val="multilevel"/>
    <w:tmpl w:val="332A47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7EC933CC"/>
    <w:multiLevelType w:val="multilevel"/>
    <w:tmpl w:val="C524B3F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57"/>
    <w:rsid w:val="0006254A"/>
    <w:rsid w:val="00464189"/>
    <w:rsid w:val="005D2657"/>
    <w:rsid w:val="00822A9C"/>
    <w:rsid w:val="00846EC2"/>
    <w:rsid w:val="00B64D48"/>
    <w:rsid w:val="00D628CF"/>
    <w:rsid w:val="00E0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154F8-9C59-4020-9848-E05021B8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E1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E1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Theme="majorEastAsia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5E1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B75E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B75E1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CB75E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Символ сноски"/>
    <w:uiPriority w:val="99"/>
    <w:semiHidden/>
    <w:unhideWhenUsed/>
    <w:qFormat/>
    <w:rsid w:val="00CB75E1"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4E53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544F47"/>
    <w:rPr>
      <w:rFonts w:ascii="Calibri" w:eastAsia="Times New Roman" w:hAnsi="Calibri" w:cs="Times New Roman"/>
      <w:lang w:eastAsia="ru-RU"/>
    </w:rPr>
  </w:style>
  <w:style w:type="character" w:customStyle="1" w:styleId="ae">
    <w:name w:val="Ссылка указателя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f"/>
  </w:style>
  <w:style w:type="paragraph" w:styleId="af4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5">
    <w:name w:val="Абзац списка5"/>
    <w:basedOn w:val="a"/>
    <w:qFormat/>
    <w:rsid w:val="00CB75E1"/>
    <w:pPr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B75E1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TOC Heading"/>
    <w:basedOn w:val="1"/>
    <w:next w:val="a"/>
    <w:uiPriority w:val="39"/>
    <w:unhideWhenUsed/>
    <w:qFormat/>
    <w:rsid w:val="00CB75E1"/>
    <w:pPr>
      <w:numPr>
        <w:numId w:val="0"/>
      </w:num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B75E1"/>
    <w:pPr>
      <w:spacing w:after="100"/>
    </w:pPr>
  </w:style>
  <w:style w:type="paragraph" w:styleId="af7">
    <w:name w:val="List Paragraph"/>
    <w:basedOn w:val="a"/>
    <w:uiPriority w:val="34"/>
    <w:qFormat/>
    <w:rsid w:val="00CB75E1"/>
    <w:pPr>
      <w:ind w:left="720"/>
      <w:contextualSpacing/>
    </w:pPr>
    <w:rPr>
      <w:rFonts w:ascii="Times New Roman" w:eastAsia="Calibri" w:hAnsi="Times New Roman"/>
      <w:b/>
      <w:sz w:val="23"/>
      <w:szCs w:val="23"/>
      <w:lang w:eastAsia="en-US"/>
    </w:rPr>
  </w:style>
  <w:style w:type="paragraph" w:customStyle="1" w:styleId="12">
    <w:name w:val="Обычный1"/>
    <w:qFormat/>
    <w:rsid w:val="00CB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CB75E1"/>
    <w:pPr>
      <w:widowControl w:val="0"/>
      <w:spacing w:after="0" w:line="330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6"/>
    <w:uiPriority w:val="99"/>
    <w:semiHidden/>
    <w:unhideWhenUsed/>
    <w:rsid w:val="00CB75E1"/>
    <w:pPr>
      <w:spacing w:after="0" w:line="240" w:lineRule="auto"/>
    </w:pPr>
    <w:rPr>
      <w:sz w:val="20"/>
      <w:szCs w:val="20"/>
    </w:rPr>
  </w:style>
  <w:style w:type="paragraph" w:styleId="ab">
    <w:name w:val="Balloon Text"/>
    <w:basedOn w:val="a"/>
    <w:link w:val="aa"/>
    <w:uiPriority w:val="99"/>
    <w:semiHidden/>
    <w:unhideWhenUsed/>
    <w:qFormat/>
    <w:rsid w:val="004E53B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c"/>
    <w:uiPriority w:val="99"/>
    <w:unhideWhenUsed/>
    <w:rsid w:val="00544F47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toc 2"/>
    <w:basedOn w:val="af3"/>
  </w:style>
  <w:style w:type="paragraph" w:styleId="3">
    <w:name w:val="toc 3"/>
    <w:basedOn w:val="af3"/>
  </w:style>
  <w:style w:type="paragraph" w:styleId="4">
    <w:name w:val="toc 4"/>
    <w:basedOn w:val="af3"/>
  </w:style>
  <w:style w:type="paragraph" w:styleId="50">
    <w:name w:val="toc 5"/>
    <w:basedOn w:val="af3"/>
  </w:style>
  <w:style w:type="paragraph" w:styleId="6">
    <w:name w:val="toc 6"/>
    <w:basedOn w:val="af3"/>
  </w:style>
  <w:style w:type="paragraph" w:styleId="7">
    <w:name w:val="toc 7"/>
    <w:basedOn w:val="af3"/>
  </w:style>
  <w:style w:type="paragraph" w:styleId="8">
    <w:name w:val="toc 8"/>
    <w:basedOn w:val="af3"/>
  </w:style>
  <w:style w:type="paragraph" w:styleId="9">
    <w:name w:val="toc 9"/>
    <w:basedOn w:val="af3"/>
  </w:style>
  <w:style w:type="table" w:customStyle="1" w:styleId="13">
    <w:name w:val="Сетка таблицы1"/>
    <w:basedOn w:val="a1"/>
    <w:uiPriority w:val="39"/>
    <w:rsid w:val="00AF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7D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E2C8-52C3-4FEE-B457-D5076328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5021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33580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dc:description/>
  <cp:lastModifiedBy>Кононова Лилия Александровна</cp:lastModifiedBy>
  <cp:revision>4</cp:revision>
  <cp:lastPrinted>2024-03-11T15:26:00Z</cp:lastPrinted>
  <dcterms:created xsi:type="dcterms:W3CDTF">2024-03-22T07:10:00Z</dcterms:created>
  <dcterms:modified xsi:type="dcterms:W3CDTF">2024-03-22T07:31:00Z</dcterms:modified>
  <dc:language>ru-RU</dc:language>
</cp:coreProperties>
</file>